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AC98" w14:textId="368FB225" w:rsidR="00A33DFF" w:rsidRPr="00065C43" w:rsidRDefault="00472593" w:rsidP="00245428">
      <w:pPr>
        <w:pStyle w:val="Heading1"/>
        <w:ind w:left="720" w:hanging="720"/>
      </w:pPr>
      <w:bookmarkStart w:id="0" w:name="_Toc27564449"/>
      <w:r w:rsidRPr="00E9696D">
        <w:t>18</w:t>
      </w:r>
      <w:r w:rsidR="000C7D74" w:rsidRPr="00E9696D">
        <w:tab/>
      </w:r>
      <w:bookmarkStart w:id="1" w:name="ChapterTitle"/>
      <w:r w:rsidR="000C7D74" w:rsidRPr="00E9696D">
        <w:t>Housing interpretative material</w:t>
      </w:r>
      <w:bookmarkEnd w:id="1"/>
      <w:bookmarkEnd w:id="0"/>
    </w:p>
    <w:bookmarkStart w:id="2" w:name="begin" w:displacedByCustomXml="next"/>
    <w:bookmarkEnd w:id="2" w:displacedByCustomXml="next"/>
    <w:sdt>
      <w:sdtPr>
        <w:rPr>
          <w:kern w:val="28"/>
          <w:sz w:val="52"/>
        </w:rPr>
        <w:id w:val="2021663923"/>
        <w:docPartObj>
          <w:docPartGallery w:val="Table of Contents"/>
          <w:docPartUnique/>
        </w:docPartObj>
      </w:sdtPr>
      <w:sdtEndPr>
        <w:rPr>
          <w:kern w:val="0"/>
          <w:sz w:val="26"/>
        </w:rPr>
      </w:sdtEndPr>
      <w:sdtContent>
        <w:p w14:paraId="1517BC51" w14:textId="2FAA2644" w:rsidR="00E9696D" w:rsidRDefault="00E9696D">
          <w:pPr>
            <w:pStyle w:val="TOC1"/>
            <w:rPr>
              <w:rFonts w:asciiTheme="minorHAnsi" w:eastAsiaTheme="minorEastAsia" w:hAnsiTheme="minorHAnsi" w:cstheme="minorBidi"/>
              <w:b w:val="0"/>
              <w:noProof/>
              <w:sz w:val="22"/>
              <w:szCs w:val="22"/>
              <w:lang w:eastAsia="en-AU"/>
            </w:rPr>
          </w:pPr>
          <w:r w:rsidRPr="00010BD5">
            <w:rPr>
              <w:noProof/>
            </w:rPr>
            <w:t>18</w:t>
          </w:r>
          <w:r>
            <w:rPr>
              <w:rFonts w:asciiTheme="minorHAnsi" w:eastAsiaTheme="minorEastAsia" w:hAnsiTheme="minorHAnsi" w:cstheme="minorBidi"/>
              <w:b w:val="0"/>
              <w:noProof/>
              <w:sz w:val="22"/>
              <w:szCs w:val="22"/>
              <w:lang w:eastAsia="en-AU"/>
            </w:rPr>
            <w:tab/>
          </w:r>
          <w:r w:rsidRPr="00010BD5">
            <w:rPr>
              <w:noProof/>
            </w:rPr>
            <w:t>Housing interpretative material</w:t>
          </w:r>
          <w:r>
            <w:rPr>
              <w:noProof/>
              <w:webHidden/>
            </w:rPr>
            <w:tab/>
          </w:r>
          <w:r w:rsidR="00CC6114">
            <w:rPr>
              <w:noProof/>
              <w:webHidden/>
            </w:rPr>
            <w:t>18.</w:t>
          </w:r>
          <w:r>
            <w:rPr>
              <w:noProof/>
              <w:webHidden/>
            </w:rPr>
            <w:t>1</w:t>
          </w:r>
        </w:p>
        <w:p w14:paraId="4AA03D6D" w14:textId="2D8ACD3B" w:rsidR="00E9696D" w:rsidRDefault="00E9696D">
          <w:pPr>
            <w:pStyle w:val="TOC2"/>
            <w:tabs>
              <w:tab w:val="left" w:pos="1320"/>
            </w:tabs>
            <w:rPr>
              <w:rFonts w:asciiTheme="minorHAnsi" w:eastAsiaTheme="minorEastAsia" w:hAnsiTheme="minorHAnsi" w:cstheme="minorBidi"/>
              <w:noProof/>
              <w:sz w:val="22"/>
              <w:szCs w:val="22"/>
              <w:lang w:eastAsia="en-AU"/>
            </w:rPr>
          </w:pPr>
          <w:r w:rsidRPr="00010BD5">
            <w:rPr>
              <w:noProof/>
            </w:rPr>
            <w:t>18.1</w:t>
          </w:r>
          <w:r>
            <w:rPr>
              <w:rFonts w:asciiTheme="minorHAnsi" w:eastAsiaTheme="minorEastAsia" w:hAnsiTheme="minorHAnsi" w:cstheme="minorBidi"/>
              <w:noProof/>
              <w:sz w:val="22"/>
              <w:szCs w:val="22"/>
              <w:lang w:eastAsia="en-AU"/>
            </w:rPr>
            <w:tab/>
          </w:r>
          <w:r w:rsidRPr="00010BD5">
            <w:rPr>
              <w:noProof/>
            </w:rPr>
            <w:t>Context</w:t>
          </w:r>
          <w:r>
            <w:rPr>
              <w:noProof/>
              <w:webHidden/>
            </w:rPr>
            <w:tab/>
          </w:r>
          <w:r w:rsidR="00CC6114">
            <w:rPr>
              <w:noProof/>
              <w:webHidden/>
            </w:rPr>
            <w:t>18.</w:t>
          </w:r>
          <w:r>
            <w:rPr>
              <w:noProof/>
              <w:webHidden/>
            </w:rPr>
            <w:t>2</w:t>
          </w:r>
        </w:p>
        <w:p w14:paraId="00615BD0" w14:textId="43150AD1" w:rsidR="00E9696D" w:rsidRDefault="00E9696D">
          <w:pPr>
            <w:pStyle w:val="TOC2"/>
            <w:tabs>
              <w:tab w:val="left" w:pos="1320"/>
            </w:tabs>
            <w:rPr>
              <w:rFonts w:asciiTheme="minorHAnsi" w:eastAsiaTheme="minorEastAsia" w:hAnsiTheme="minorHAnsi" w:cstheme="minorBidi"/>
              <w:noProof/>
              <w:sz w:val="22"/>
              <w:szCs w:val="22"/>
              <w:lang w:eastAsia="en-AU"/>
            </w:rPr>
          </w:pPr>
          <w:r w:rsidRPr="00010BD5">
            <w:rPr>
              <w:noProof/>
            </w:rPr>
            <w:t>18.2</w:t>
          </w:r>
          <w:r>
            <w:rPr>
              <w:rFonts w:asciiTheme="minorHAnsi" w:eastAsiaTheme="minorEastAsia" w:hAnsiTheme="minorHAnsi" w:cstheme="minorBidi"/>
              <w:noProof/>
              <w:sz w:val="22"/>
              <w:szCs w:val="22"/>
              <w:lang w:eastAsia="en-AU"/>
            </w:rPr>
            <w:tab/>
          </w:r>
          <w:r w:rsidRPr="00010BD5">
            <w:rPr>
              <w:noProof/>
            </w:rPr>
            <w:t>Indicators</w:t>
          </w:r>
          <w:r>
            <w:rPr>
              <w:noProof/>
              <w:webHidden/>
            </w:rPr>
            <w:tab/>
          </w:r>
          <w:r w:rsidR="00CC6114">
            <w:rPr>
              <w:noProof/>
              <w:webHidden/>
            </w:rPr>
            <w:t>18.</w:t>
          </w:r>
          <w:r>
            <w:rPr>
              <w:noProof/>
              <w:webHidden/>
            </w:rPr>
            <w:t>14</w:t>
          </w:r>
        </w:p>
        <w:p w14:paraId="320BEC8A" w14:textId="194CC680" w:rsidR="00E9696D" w:rsidRDefault="00E9696D">
          <w:pPr>
            <w:pStyle w:val="TOC3"/>
            <w:rPr>
              <w:rFonts w:asciiTheme="minorHAnsi" w:eastAsiaTheme="minorEastAsia" w:hAnsiTheme="minorHAnsi" w:cstheme="minorBidi"/>
              <w:noProof/>
              <w:sz w:val="22"/>
              <w:szCs w:val="22"/>
              <w:lang w:eastAsia="en-AU"/>
            </w:rPr>
          </w:pPr>
          <w:r w:rsidRPr="00010BD5">
            <w:rPr>
              <w:noProof/>
            </w:rPr>
            <w:t>Outputs</w:t>
          </w:r>
          <w:r>
            <w:rPr>
              <w:noProof/>
              <w:webHidden/>
            </w:rPr>
            <w:tab/>
          </w:r>
          <w:r w:rsidR="00CC6114">
            <w:rPr>
              <w:noProof/>
              <w:webHidden/>
            </w:rPr>
            <w:t>18.</w:t>
          </w:r>
          <w:r>
            <w:rPr>
              <w:noProof/>
              <w:webHidden/>
            </w:rPr>
            <w:t>15</w:t>
          </w:r>
        </w:p>
        <w:p w14:paraId="0E7E49E5" w14:textId="3167D66C" w:rsidR="00E9696D" w:rsidRDefault="00E9696D">
          <w:pPr>
            <w:pStyle w:val="TOC3"/>
            <w:rPr>
              <w:rFonts w:asciiTheme="minorHAnsi" w:eastAsiaTheme="minorEastAsia" w:hAnsiTheme="minorHAnsi" w:cstheme="minorBidi"/>
              <w:noProof/>
              <w:sz w:val="22"/>
              <w:szCs w:val="22"/>
              <w:lang w:eastAsia="en-AU"/>
            </w:rPr>
          </w:pPr>
          <w:r w:rsidRPr="00010BD5">
            <w:rPr>
              <w:noProof/>
            </w:rPr>
            <w:t>Equity</w:t>
          </w:r>
          <w:r>
            <w:rPr>
              <w:noProof/>
              <w:webHidden/>
            </w:rPr>
            <w:tab/>
          </w:r>
          <w:r w:rsidR="00CC6114">
            <w:rPr>
              <w:noProof/>
              <w:webHidden/>
            </w:rPr>
            <w:t>18.</w:t>
          </w:r>
          <w:r>
            <w:rPr>
              <w:noProof/>
              <w:webHidden/>
            </w:rPr>
            <w:t>15</w:t>
          </w:r>
        </w:p>
        <w:p w14:paraId="1DE59D4D" w14:textId="7799B05E" w:rsidR="00E9696D" w:rsidRDefault="00E9696D">
          <w:pPr>
            <w:pStyle w:val="TOC4"/>
            <w:rPr>
              <w:rFonts w:asciiTheme="minorHAnsi" w:eastAsiaTheme="minorEastAsia" w:hAnsiTheme="minorHAnsi" w:cstheme="minorBidi"/>
              <w:noProof/>
              <w:sz w:val="22"/>
              <w:szCs w:val="22"/>
              <w:lang w:eastAsia="en-AU"/>
            </w:rPr>
          </w:pPr>
          <w:r w:rsidRPr="00010BD5">
            <w:rPr>
              <w:noProof/>
            </w:rPr>
            <w:t>Access — Priority access to those in greatest need</w:t>
          </w:r>
          <w:r>
            <w:rPr>
              <w:noProof/>
              <w:webHidden/>
            </w:rPr>
            <w:tab/>
          </w:r>
          <w:r w:rsidR="00CC6114">
            <w:rPr>
              <w:noProof/>
              <w:webHidden/>
            </w:rPr>
            <w:t>18.</w:t>
          </w:r>
          <w:r>
            <w:rPr>
              <w:noProof/>
              <w:webHidden/>
            </w:rPr>
            <w:t>15</w:t>
          </w:r>
        </w:p>
        <w:p w14:paraId="0CD054EA" w14:textId="1FCD99DF" w:rsidR="00E9696D" w:rsidRDefault="00E9696D">
          <w:pPr>
            <w:pStyle w:val="TOC4"/>
            <w:rPr>
              <w:rFonts w:asciiTheme="minorHAnsi" w:eastAsiaTheme="minorEastAsia" w:hAnsiTheme="minorHAnsi" w:cstheme="minorBidi"/>
              <w:noProof/>
              <w:sz w:val="22"/>
              <w:szCs w:val="22"/>
              <w:lang w:eastAsia="en-AU"/>
            </w:rPr>
          </w:pPr>
          <w:r w:rsidRPr="00010BD5">
            <w:rPr>
              <w:noProof/>
            </w:rPr>
            <w:t>Access — Special needs</w:t>
          </w:r>
          <w:r>
            <w:rPr>
              <w:noProof/>
              <w:webHidden/>
            </w:rPr>
            <w:tab/>
          </w:r>
          <w:r w:rsidR="00CC6114">
            <w:rPr>
              <w:noProof/>
              <w:webHidden/>
            </w:rPr>
            <w:t>18.</w:t>
          </w:r>
          <w:r>
            <w:rPr>
              <w:noProof/>
              <w:webHidden/>
            </w:rPr>
            <w:t>1</w:t>
          </w:r>
          <w:r w:rsidR="004D3F25">
            <w:rPr>
              <w:noProof/>
              <w:webHidden/>
            </w:rPr>
            <w:t>6</w:t>
          </w:r>
        </w:p>
        <w:p w14:paraId="2F56427E" w14:textId="26608CFF" w:rsidR="00E9696D" w:rsidRDefault="00E9696D">
          <w:pPr>
            <w:pStyle w:val="TOC3"/>
            <w:rPr>
              <w:rFonts w:asciiTheme="minorHAnsi" w:eastAsiaTheme="minorEastAsia" w:hAnsiTheme="minorHAnsi" w:cstheme="minorBidi"/>
              <w:noProof/>
              <w:sz w:val="22"/>
              <w:szCs w:val="22"/>
              <w:lang w:eastAsia="en-AU"/>
            </w:rPr>
          </w:pPr>
          <w:r w:rsidRPr="00010BD5">
            <w:rPr>
              <w:noProof/>
            </w:rPr>
            <w:t>Effectiveness</w:t>
          </w:r>
          <w:r>
            <w:rPr>
              <w:noProof/>
              <w:webHidden/>
            </w:rPr>
            <w:tab/>
          </w:r>
          <w:r w:rsidR="00CC6114">
            <w:rPr>
              <w:noProof/>
              <w:webHidden/>
            </w:rPr>
            <w:t>18.</w:t>
          </w:r>
          <w:r>
            <w:rPr>
              <w:noProof/>
              <w:webHidden/>
            </w:rPr>
            <w:t>16</w:t>
          </w:r>
        </w:p>
        <w:p w14:paraId="1B419911" w14:textId="610DE967" w:rsidR="00E9696D" w:rsidRDefault="00E9696D">
          <w:pPr>
            <w:pStyle w:val="TOC4"/>
            <w:rPr>
              <w:rFonts w:asciiTheme="minorHAnsi" w:eastAsiaTheme="minorEastAsia" w:hAnsiTheme="minorHAnsi" w:cstheme="minorBidi"/>
              <w:noProof/>
              <w:sz w:val="22"/>
              <w:szCs w:val="22"/>
              <w:lang w:eastAsia="en-AU"/>
            </w:rPr>
          </w:pPr>
          <w:r w:rsidRPr="00010BD5">
            <w:rPr>
              <w:noProof/>
            </w:rPr>
            <w:t>Access — Affordability</w:t>
          </w:r>
          <w:r>
            <w:rPr>
              <w:noProof/>
              <w:webHidden/>
            </w:rPr>
            <w:tab/>
          </w:r>
          <w:r w:rsidR="00CC6114">
            <w:rPr>
              <w:noProof/>
              <w:webHidden/>
            </w:rPr>
            <w:t>18.</w:t>
          </w:r>
          <w:r>
            <w:rPr>
              <w:noProof/>
              <w:webHidden/>
            </w:rPr>
            <w:t>16</w:t>
          </w:r>
        </w:p>
        <w:p w14:paraId="3E99EAFB" w14:textId="6DBFFB4B" w:rsidR="00E9696D" w:rsidRDefault="00E9696D">
          <w:pPr>
            <w:pStyle w:val="TOC4"/>
            <w:rPr>
              <w:rFonts w:asciiTheme="minorHAnsi" w:eastAsiaTheme="minorEastAsia" w:hAnsiTheme="minorHAnsi" w:cstheme="minorBidi"/>
              <w:noProof/>
              <w:sz w:val="22"/>
              <w:szCs w:val="22"/>
              <w:lang w:eastAsia="en-AU"/>
            </w:rPr>
          </w:pPr>
          <w:r w:rsidRPr="00010BD5">
            <w:rPr>
              <w:noProof/>
            </w:rPr>
            <w:t>Wait times</w:t>
          </w:r>
          <w:r>
            <w:rPr>
              <w:noProof/>
              <w:webHidden/>
            </w:rPr>
            <w:tab/>
          </w:r>
          <w:r w:rsidR="00CC6114">
            <w:rPr>
              <w:noProof/>
              <w:webHidden/>
            </w:rPr>
            <w:t>18.</w:t>
          </w:r>
          <w:r>
            <w:rPr>
              <w:noProof/>
              <w:webHidden/>
            </w:rPr>
            <w:t>17</w:t>
          </w:r>
        </w:p>
        <w:p w14:paraId="31D875CD" w14:textId="79185524" w:rsidR="00E9696D" w:rsidRDefault="00E9696D">
          <w:pPr>
            <w:pStyle w:val="TOC4"/>
            <w:rPr>
              <w:rFonts w:asciiTheme="minorHAnsi" w:eastAsiaTheme="minorEastAsia" w:hAnsiTheme="minorHAnsi" w:cstheme="minorBidi"/>
              <w:noProof/>
              <w:sz w:val="22"/>
              <w:szCs w:val="22"/>
              <w:lang w:eastAsia="en-AU"/>
            </w:rPr>
          </w:pPr>
          <w:r w:rsidRPr="00010BD5">
            <w:rPr>
              <w:noProof/>
            </w:rPr>
            <w:t>Appropriateness — Match of dwelling to household size</w:t>
          </w:r>
          <w:r>
            <w:rPr>
              <w:noProof/>
              <w:webHidden/>
            </w:rPr>
            <w:tab/>
          </w:r>
          <w:r w:rsidR="00CC6114">
            <w:rPr>
              <w:noProof/>
              <w:webHidden/>
            </w:rPr>
            <w:t>18.</w:t>
          </w:r>
          <w:r>
            <w:rPr>
              <w:noProof/>
              <w:webHidden/>
            </w:rPr>
            <w:t>17</w:t>
          </w:r>
        </w:p>
        <w:p w14:paraId="582C1269" w14:textId="358751AC" w:rsidR="00E9696D" w:rsidRDefault="00E9696D">
          <w:pPr>
            <w:pStyle w:val="TOC4"/>
            <w:rPr>
              <w:rFonts w:asciiTheme="minorHAnsi" w:eastAsiaTheme="minorEastAsia" w:hAnsiTheme="minorHAnsi" w:cstheme="minorBidi"/>
              <w:noProof/>
              <w:sz w:val="22"/>
              <w:szCs w:val="22"/>
              <w:lang w:eastAsia="en-AU"/>
            </w:rPr>
          </w:pPr>
          <w:r w:rsidRPr="00010BD5">
            <w:rPr>
              <w:noProof/>
            </w:rPr>
            <w:t>Appropriateness — Amenity/location</w:t>
          </w:r>
          <w:r>
            <w:rPr>
              <w:noProof/>
              <w:webHidden/>
            </w:rPr>
            <w:tab/>
          </w:r>
          <w:r w:rsidR="00CC6114">
            <w:rPr>
              <w:noProof/>
              <w:webHidden/>
            </w:rPr>
            <w:t>18.</w:t>
          </w:r>
          <w:r>
            <w:rPr>
              <w:noProof/>
              <w:webHidden/>
            </w:rPr>
            <w:t>18</w:t>
          </w:r>
        </w:p>
        <w:p w14:paraId="2DCB374A" w14:textId="2354F63F" w:rsidR="00E9696D" w:rsidRDefault="00E9696D">
          <w:pPr>
            <w:pStyle w:val="TOC4"/>
            <w:rPr>
              <w:rFonts w:asciiTheme="minorHAnsi" w:eastAsiaTheme="minorEastAsia" w:hAnsiTheme="minorHAnsi" w:cstheme="minorBidi"/>
              <w:noProof/>
              <w:sz w:val="22"/>
              <w:szCs w:val="22"/>
              <w:lang w:eastAsia="en-AU"/>
            </w:rPr>
          </w:pPr>
          <w:r w:rsidRPr="00010BD5">
            <w:rPr>
              <w:noProof/>
            </w:rPr>
            <w:t>Quality — Dwelling condition</w:t>
          </w:r>
          <w:r>
            <w:rPr>
              <w:noProof/>
              <w:webHidden/>
            </w:rPr>
            <w:tab/>
          </w:r>
          <w:r w:rsidR="00CC6114">
            <w:rPr>
              <w:noProof/>
              <w:webHidden/>
            </w:rPr>
            <w:t>18.</w:t>
          </w:r>
          <w:r>
            <w:rPr>
              <w:noProof/>
              <w:webHidden/>
            </w:rPr>
            <w:t>19</w:t>
          </w:r>
        </w:p>
        <w:p w14:paraId="6814CFFF" w14:textId="634D67D1" w:rsidR="00E9696D" w:rsidRDefault="00E9696D">
          <w:pPr>
            <w:pStyle w:val="TOC4"/>
            <w:rPr>
              <w:rFonts w:asciiTheme="minorHAnsi" w:eastAsiaTheme="minorEastAsia" w:hAnsiTheme="minorHAnsi" w:cstheme="minorBidi"/>
              <w:noProof/>
              <w:sz w:val="22"/>
              <w:szCs w:val="22"/>
              <w:lang w:eastAsia="en-AU"/>
            </w:rPr>
          </w:pPr>
          <w:r w:rsidRPr="00010BD5">
            <w:rPr>
              <w:noProof/>
            </w:rPr>
            <w:t>Quality — Customer satisfaction</w:t>
          </w:r>
          <w:r>
            <w:rPr>
              <w:noProof/>
              <w:webHidden/>
            </w:rPr>
            <w:tab/>
          </w:r>
          <w:r w:rsidR="00CC6114">
            <w:rPr>
              <w:noProof/>
              <w:webHidden/>
            </w:rPr>
            <w:t>18.</w:t>
          </w:r>
          <w:r w:rsidR="00F61D20">
            <w:rPr>
              <w:noProof/>
              <w:webHidden/>
            </w:rPr>
            <w:t>20</w:t>
          </w:r>
        </w:p>
        <w:p w14:paraId="017C59BC" w14:textId="41A7E3B8" w:rsidR="00E9696D" w:rsidRDefault="00E9696D">
          <w:pPr>
            <w:pStyle w:val="TOC4"/>
            <w:rPr>
              <w:rFonts w:asciiTheme="minorHAnsi" w:eastAsiaTheme="minorEastAsia" w:hAnsiTheme="minorHAnsi" w:cstheme="minorBidi"/>
              <w:noProof/>
              <w:sz w:val="22"/>
              <w:szCs w:val="22"/>
              <w:lang w:eastAsia="en-AU"/>
            </w:rPr>
          </w:pPr>
          <w:r w:rsidRPr="00010BD5">
            <w:rPr>
              <w:noProof/>
            </w:rPr>
            <w:t>Sustainability</w:t>
          </w:r>
          <w:r>
            <w:rPr>
              <w:noProof/>
              <w:webHidden/>
            </w:rPr>
            <w:tab/>
          </w:r>
          <w:r w:rsidR="00CC6114">
            <w:rPr>
              <w:noProof/>
              <w:webHidden/>
            </w:rPr>
            <w:t>18.</w:t>
          </w:r>
          <w:r>
            <w:rPr>
              <w:noProof/>
              <w:webHidden/>
            </w:rPr>
            <w:t>20</w:t>
          </w:r>
        </w:p>
        <w:p w14:paraId="1A8B2A96" w14:textId="60D7D7C4" w:rsidR="00E9696D" w:rsidRDefault="00E9696D">
          <w:pPr>
            <w:pStyle w:val="TOC3"/>
            <w:rPr>
              <w:rFonts w:asciiTheme="minorHAnsi" w:eastAsiaTheme="minorEastAsia" w:hAnsiTheme="minorHAnsi" w:cstheme="minorBidi"/>
              <w:noProof/>
              <w:sz w:val="22"/>
              <w:szCs w:val="22"/>
              <w:lang w:eastAsia="en-AU"/>
            </w:rPr>
          </w:pPr>
          <w:r w:rsidRPr="00010BD5">
            <w:rPr>
              <w:noProof/>
            </w:rPr>
            <w:t>Efficiency</w:t>
          </w:r>
          <w:r>
            <w:rPr>
              <w:noProof/>
              <w:webHidden/>
            </w:rPr>
            <w:tab/>
          </w:r>
          <w:r w:rsidR="00CC6114">
            <w:rPr>
              <w:noProof/>
              <w:webHidden/>
            </w:rPr>
            <w:t>18.</w:t>
          </w:r>
          <w:r>
            <w:rPr>
              <w:noProof/>
              <w:webHidden/>
            </w:rPr>
            <w:t>20</w:t>
          </w:r>
        </w:p>
        <w:p w14:paraId="67ED7330" w14:textId="537D76CF" w:rsidR="00E9696D" w:rsidRDefault="00E9696D">
          <w:pPr>
            <w:pStyle w:val="TOC4"/>
            <w:rPr>
              <w:rFonts w:asciiTheme="minorHAnsi" w:eastAsiaTheme="minorEastAsia" w:hAnsiTheme="minorHAnsi" w:cstheme="minorBidi"/>
              <w:noProof/>
              <w:sz w:val="22"/>
              <w:szCs w:val="22"/>
              <w:lang w:eastAsia="en-AU"/>
            </w:rPr>
          </w:pPr>
          <w:r w:rsidRPr="00010BD5">
            <w:rPr>
              <w:noProof/>
            </w:rPr>
            <w:t>Net recurrent cost per dwelling</w:t>
          </w:r>
          <w:r>
            <w:rPr>
              <w:noProof/>
              <w:webHidden/>
            </w:rPr>
            <w:tab/>
          </w:r>
          <w:r w:rsidR="00CC6114">
            <w:rPr>
              <w:noProof/>
              <w:webHidden/>
            </w:rPr>
            <w:t>18.</w:t>
          </w:r>
          <w:r>
            <w:rPr>
              <w:noProof/>
              <w:webHidden/>
            </w:rPr>
            <w:t>20</w:t>
          </w:r>
        </w:p>
        <w:p w14:paraId="1B68F4B5" w14:textId="0F43BFAA" w:rsidR="00E9696D" w:rsidRDefault="00E9696D">
          <w:pPr>
            <w:pStyle w:val="TOC3"/>
            <w:rPr>
              <w:rFonts w:asciiTheme="minorHAnsi" w:eastAsiaTheme="minorEastAsia" w:hAnsiTheme="minorHAnsi" w:cstheme="minorBidi"/>
              <w:noProof/>
              <w:sz w:val="22"/>
              <w:szCs w:val="22"/>
              <w:lang w:eastAsia="en-AU"/>
            </w:rPr>
          </w:pPr>
          <w:r w:rsidRPr="00010BD5">
            <w:rPr>
              <w:noProof/>
            </w:rPr>
            <w:t>Outcomes</w:t>
          </w:r>
          <w:r>
            <w:rPr>
              <w:noProof/>
              <w:webHidden/>
            </w:rPr>
            <w:tab/>
          </w:r>
          <w:r w:rsidR="00CC6114">
            <w:rPr>
              <w:noProof/>
              <w:webHidden/>
            </w:rPr>
            <w:t>18.</w:t>
          </w:r>
          <w:r>
            <w:rPr>
              <w:noProof/>
              <w:webHidden/>
            </w:rPr>
            <w:t>21</w:t>
          </w:r>
        </w:p>
        <w:p w14:paraId="24809414" w14:textId="351C95C7" w:rsidR="00E9696D" w:rsidRDefault="00E9696D">
          <w:pPr>
            <w:pStyle w:val="TOC4"/>
            <w:rPr>
              <w:rFonts w:asciiTheme="minorHAnsi" w:eastAsiaTheme="minorEastAsia" w:hAnsiTheme="minorHAnsi" w:cstheme="minorBidi"/>
              <w:noProof/>
              <w:sz w:val="22"/>
              <w:szCs w:val="22"/>
              <w:lang w:eastAsia="en-AU"/>
            </w:rPr>
          </w:pPr>
          <w:r w:rsidRPr="00010BD5">
            <w:rPr>
              <w:noProof/>
            </w:rPr>
            <w:t>Social and economic participation</w:t>
          </w:r>
          <w:r>
            <w:rPr>
              <w:noProof/>
              <w:webHidden/>
            </w:rPr>
            <w:tab/>
          </w:r>
          <w:r w:rsidR="00CC6114">
            <w:rPr>
              <w:noProof/>
              <w:webHidden/>
            </w:rPr>
            <w:t>18.</w:t>
          </w:r>
          <w:r>
            <w:rPr>
              <w:noProof/>
              <w:webHidden/>
            </w:rPr>
            <w:t>22</w:t>
          </w:r>
        </w:p>
        <w:p w14:paraId="73BD9250" w14:textId="24AAD5E7" w:rsidR="00E9696D" w:rsidRDefault="00E9696D">
          <w:pPr>
            <w:pStyle w:val="TOC2"/>
            <w:tabs>
              <w:tab w:val="left" w:pos="1320"/>
            </w:tabs>
            <w:rPr>
              <w:rFonts w:asciiTheme="minorHAnsi" w:eastAsiaTheme="minorEastAsia" w:hAnsiTheme="minorHAnsi" w:cstheme="minorBidi"/>
              <w:noProof/>
              <w:sz w:val="22"/>
              <w:szCs w:val="22"/>
              <w:lang w:eastAsia="en-AU"/>
            </w:rPr>
          </w:pPr>
          <w:r w:rsidRPr="00010BD5">
            <w:rPr>
              <w:noProof/>
            </w:rPr>
            <w:t>18.3</w:t>
          </w:r>
          <w:r>
            <w:rPr>
              <w:rFonts w:asciiTheme="minorHAnsi" w:eastAsiaTheme="minorEastAsia" w:hAnsiTheme="minorHAnsi" w:cstheme="minorBidi"/>
              <w:noProof/>
              <w:sz w:val="22"/>
              <w:szCs w:val="22"/>
              <w:lang w:eastAsia="en-AU"/>
            </w:rPr>
            <w:tab/>
          </w:r>
          <w:r w:rsidRPr="00010BD5">
            <w:rPr>
              <w:noProof/>
            </w:rPr>
            <w:t>Definitions of key terms</w:t>
          </w:r>
          <w:r>
            <w:rPr>
              <w:noProof/>
              <w:webHidden/>
            </w:rPr>
            <w:tab/>
          </w:r>
          <w:r w:rsidR="00CC6114">
            <w:rPr>
              <w:noProof/>
              <w:webHidden/>
            </w:rPr>
            <w:t>18.</w:t>
          </w:r>
          <w:r>
            <w:rPr>
              <w:noProof/>
              <w:webHidden/>
            </w:rPr>
            <w:t>22</w:t>
          </w:r>
        </w:p>
        <w:p w14:paraId="4AA2F91A" w14:textId="7A56CB63" w:rsidR="00E9696D" w:rsidRDefault="00E9696D">
          <w:pPr>
            <w:pStyle w:val="TOC2"/>
            <w:tabs>
              <w:tab w:val="left" w:pos="1320"/>
            </w:tabs>
            <w:rPr>
              <w:rFonts w:asciiTheme="minorHAnsi" w:eastAsiaTheme="minorEastAsia" w:hAnsiTheme="minorHAnsi" w:cstheme="minorBidi"/>
              <w:noProof/>
              <w:sz w:val="22"/>
              <w:szCs w:val="22"/>
              <w:lang w:eastAsia="en-AU"/>
            </w:rPr>
          </w:pPr>
          <w:r w:rsidRPr="00010BD5">
            <w:rPr>
              <w:noProof/>
            </w:rPr>
            <w:t>18.4</w:t>
          </w:r>
          <w:r>
            <w:rPr>
              <w:rFonts w:asciiTheme="minorHAnsi" w:eastAsiaTheme="minorEastAsia" w:hAnsiTheme="minorHAnsi" w:cstheme="minorBidi"/>
              <w:noProof/>
              <w:sz w:val="22"/>
              <w:szCs w:val="22"/>
              <w:lang w:eastAsia="en-AU"/>
            </w:rPr>
            <w:tab/>
          </w:r>
          <w:r w:rsidRPr="00010BD5">
            <w:rPr>
              <w:noProof/>
            </w:rPr>
            <w:t>References</w:t>
          </w:r>
          <w:r>
            <w:rPr>
              <w:noProof/>
              <w:webHidden/>
            </w:rPr>
            <w:tab/>
          </w:r>
          <w:r w:rsidR="00CC6114">
            <w:rPr>
              <w:noProof/>
              <w:webHidden/>
            </w:rPr>
            <w:t>18.</w:t>
          </w:r>
          <w:r>
            <w:rPr>
              <w:noProof/>
              <w:webHidden/>
            </w:rPr>
            <w:t>26</w:t>
          </w:r>
        </w:p>
        <w:p w14:paraId="504A64BC" w14:textId="50A2ECF7" w:rsidR="00536344" w:rsidRDefault="003950C5" w:rsidP="00536344">
          <w:pPr>
            <w:pStyle w:val="TOC1"/>
          </w:pPr>
        </w:p>
      </w:sdtContent>
    </w:sdt>
    <w:p w14:paraId="519C3542" w14:textId="539DF6D0" w:rsidR="00060D89" w:rsidRDefault="00060D89" w:rsidP="00060D89">
      <w:pPr>
        <w:pStyle w:val="BodyText"/>
      </w:pPr>
      <w:r>
        <w:t>The housing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w:t>
      </w:r>
      <w:r w:rsidR="00607436">
        <w:t>eness and comparability status.</w:t>
      </w:r>
    </w:p>
    <w:p w14:paraId="448E263C" w14:textId="2F242E5A" w:rsidR="004B2A15" w:rsidRDefault="00060D89" w:rsidP="004B2A15">
      <w:pPr>
        <w:pStyle w:val="BodyText"/>
      </w:pPr>
      <w:r>
        <w:lastRenderedPageBreak/>
        <w:t>Further information on the Report on Government Services including other reported service areas, the glossary and list of abbreviations is available at https://www.pc.gov.au/research/</w:t>
      </w:r>
      <w:r>
        <w:br/>
        <w:t>ongoing/report on government services.</w:t>
      </w:r>
    </w:p>
    <w:p w14:paraId="1C5DAD22" w14:textId="77777777" w:rsidR="00060D89" w:rsidRDefault="00060D89" w:rsidP="00060D89">
      <w:pPr>
        <w:pStyle w:val="Heading2"/>
      </w:pPr>
      <w:bookmarkStart w:id="3" w:name="_Toc18675353"/>
      <w:bookmarkStart w:id="4" w:name="_Toc27564450"/>
      <w:r w:rsidRPr="00A27F3F">
        <w:t>18.</w:t>
      </w:r>
      <w:r w:rsidRPr="00A27F3F">
        <w:rPr>
          <w:noProof/>
        </w:rPr>
        <w:t>1</w:t>
      </w:r>
      <w:r w:rsidRPr="00A27F3F">
        <w:tab/>
        <w:t>Context</w:t>
      </w:r>
      <w:bookmarkEnd w:id="3"/>
      <w:bookmarkEnd w:id="4"/>
    </w:p>
    <w:p w14:paraId="57456958" w14:textId="7638162A" w:rsidR="008042A6" w:rsidRPr="00371971" w:rsidRDefault="00F916DB" w:rsidP="00371971">
      <w:pPr>
        <w:pStyle w:val="BodyText"/>
        <w:rPr>
          <w:rStyle w:val="DraftingNote"/>
          <w:b w:val="0"/>
          <w:color w:val="auto"/>
          <w:u w:val="none"/>
        </w:rPr>
        <w:sectPr w:rsidR="008042A6" w:rsidRPr="00371971" w:rsidSect="00B84B90">
          <w:headerReference w:type="even" r:id="rId8"/>
          <w:headerReference w:type="default" r:id="rId9"/>
          <w:footerReference w:type="even" r:id="rId10"/>
          <w:footerReference w:type="default" r:id="rId11"/>
          <w:pgSz w:w="11907" w:h="16840" w:code="9"/>
          <w:pgMar w:top="1985" w:right="1304" w:bottom="1247" w:left="1814" w:header="1701" w:footer="397" w:gutter="0"/>
          <w:pgNumType w:start="1" w:chapSep="period"/>
          <w:cols w:space="720"/>
        </w:sectPr>
      </w:pPr>
      <w:r>
        <w:t>I</w:t>
      </w:r>
      <w:r w:rsidRPr="00F916DB">
        <w:t xml:space="preserve">nformation on public housing, SOMIH and community housing </w:t>
      </w:r>
      <w:r w:rsidR="00A16D87" w:rsidRPr="00F916DB">
        <w:t xml:space="preserve">context </w:t>
      </w:r>
      <w:r w:rsidR="00A16D87">
        <w:t>is provided in tables </w:t>
      </w:r>
      <w:r w:rsidR="00F23046" w:rsidRPr="00F23046">
        <w:t>18.</w:t>
      </w:r>
      <w:r w:rsidR="00F23046">
        <w:t>1–</w:t>
      </w:r>
      <w:r w:rsidR="003C170B">
        <w:t>5</w:t>
      </w:r>
      <w:r>
        <w:t>.</w:t>
      </w:r>
      <w:r w:rsidR="000B5680" w:rsidRPr="00371971">
        <w:t xml:space="preserve"> </w:t>
      </w:r>
    </w:p>
    <w:p w14:paraId="21D1FB96" w14:textId="4E75500A" w:rsidR="00A4323F" w:rsidRDefault="00A4323F" w:rsidP="00021EE0">
      <w:pPr>
        <w:pStyle w:val="BoxSpaceAbove"/>
        <w:keepLines/>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A4323F" w14:paraId="7688590A" w14:textId="77777777" w:rsidTr="0069668B">
        <w:trPr>
          <w:tblHeader/>
        </w:trPr>
        <w:tc>
          <w:tcPr>
            <w:tcW w:w="5000" w:type="pct"/>
            <w:shd w:val="clear" w:color="auto" w:fill="auto"/>
          </w:tcPr>
          <w:p w14:paraId="0C60BEE7" w14:textId="200A2A9A" w:rsidR="00A4323F" w:rsidRPr="00784A05" w:rsidRDefault="00A4323F" w:rsidP="00AA16BB">
            <w:pPr>
              <w:pStyle w:val="TableTitle"/>
            </w:pPr>
            <w:r>
              <w:rPr>
                <w:b w:val="0"/>
              </w:rPr>
              <w:t xml:space="preserve">Table </w:t>
            </w:r>
            <w:r w:rsidR="000C7D74">
              <w:rPr>
                <w:b w:val="0"/>
              </w:rPr>
              <w:t>18.</w:t>
            </w:r>
            <w:r w:rsidR="004F1E16">
              <w:rPr>
                <w:b w:val="0"/>
                <w:noProof/>
              </w:rPr>
              <w:t>1</w:t>
            </w:r>
            <w:r>
              <w:tab/>
            </w:r>
            <w:r w:rsidR="00EB1216" w:rsidRPr="00EB1216">
              <w:t>Public h</w:t>
            </w:r>
            <w:r w:rsidR="00A73132">
              <w:t xml:space="preserve">ousing </w:t>
            </w:r>
            <w:r w:rsidR="0012794D">
              <w:t>policy context, 2020</w:t>
            </w:r>
            <w:r w:rsidR="00A73132" w:rsidRPr="00A83249">
              <w:rPr>
                <w:rStyle w:val="NoteLabel"/>
                <w:b/>
              </w:rPr>
              <w:t>a,</w:t>
            </w:r>
            <w:r w:rsidR="00024123">
              <w:rPr>
                <w:rStyle w:val="NoteLabel"/>
                <w:b/>
              </w:rPr>
              <w:t> </w:t>
            </w:r>
            <w:r w:rsidR="00A73132" w:rsidRPr="00A83249">
              <w:rPr>
                <w:rStyle w:val="NoteLabel"/>
                <w:b/>
              </w:rPr>
              <w:t>b</w:t>
            </w:r>
            <w:r w:rsidR="00EB1216" w:rsidRPr="00A83249">
              <w:rPr>
                <w:rStyle w:val="NoteLabel"/>
                <w:b/>
              </w:rPr>
              <w:tab/>
            </w:r>
            <w:r w:rsidR="00EB1216" w:rsidRPr="00EB1216">
              <w:tab/>
            </w:r>
            <w:r w:rsidR="00EB1216" w:rsidRPr="00EB1216">
              <w:tab/>
            </w:r>
            <w:r w:rsidR="00EB1216" w:rsidRPr="00EB1216">
              <w:tab/>
            </w:r>
            <w:r w:rsidR="00EB1216" w:rsidRPr="00EB1216">
              <w:tab/>
            </w:r>
            <w:r w:rsidR="00EB1216" w:rsidRPr="00EB1216">
              <w:tab/>
            </w:r>
            <w:r w:rsidR="00EB1216" w:rsidRPr="00EB1216">
              <w:tab/>
            </w:r>
          </w:p>
        </w:tc>
      </w:tr>
      <w:tr w:rsidR="00A4323F" w14:paraId="43126A81" w14:textId="77777777" w:rsidTr="006A057B">
        <w:trPr>
          <w:trHeight w:val="6342"/>
        </w:trPr>
        <w:tc>
          <w:tcPr>
            <w:tcW w:w="5000" w:type="pct"/>
            <w:shd w:val="clear" w:color="auto" w:fill="auto"/>
          </w:tcPr>
          <w:tbl>
            <w:tblPr>
              <w:tblW w:w="13322" w:type="dxa"/>
              <w:tblCellMar>
                <w:top w:w="28" w:type="dxa"/>
                <w:left w:w="0" w:type="dxa"/>
                <w:right w:w="0" w:type="dxa"/>
              </w:tblCellMar>
              <w:tblLook w:val="0000" w:firstRow="0" w:lastRow="0" w:firstColumn="0" w:lastColumn="0" w:noHBand="0" w:noVBand="0"/>
            </w:tblPr>
            <w:tblGrid>
              <w:gridCol w:w="920"/>
              <w:gridCol w:w="1169"/>
              <w:gridCol w:w="1603"/>
              <w:gridCol w:w="1604"/>
              <w:gridCol w:w="1604"/>
              <w:gridCol w:w="1607"/>
              <w:gridCol w:w="1607"/>
              <w:gridCol w:w="1607"/>
              <w:gridCol w:w="1601"/>
            </w:tblGrid>
            <w:tr w:rsidR="007172C6" w14:paraId="7E32C972" w14:textId="7BC7FF2A" w:rsidTr="00D1071E">
              <w:trPr>
                <w:trHeight w:val="204"/>
                <w:tblHeader/>
              </w:trPr>
              <w:tc>
                <w:tcPr>
                  <w:tcW w:w="345" w:type="pct"/>
                  <w:tcBorders>
                    <w:top w:val="single" w:sz="6" w:space="0" w:color="BFBFBF"/>
                    <w:bottom w:val="single" w:sz="6" w:space="0" w:color="BFBFBF"/>
                  </w:tcBorders>
                  <w:shd w:val="clear" w:color="auto" w:fill="auto"/>
                  <w:tcMar>
                    <w:top w:w="28" w:type="dxa"/>
                  </w:tcMar>
                </w:tcPr>
                <w:p w14:paraId="67CCCC84" w14:textId="77777777" w:rsidR="00D021B3" w:rsidRDefault="00D021B3" w:rsidP="00D021B3">
                  <w:pPr>
                    <w:pStyle w:val="TableColumnHeading"/>
                    <w:jc w:val="left"/>
                  </w:pPr>
                </w:p>
              </w:tc>
              <w:tc>
                <w:tcPr>
                  <w:tcW w:w="439" w:type="pct"/>
                  <w:tcBorders>
                    <w:top w:val="single" w:sz="6" w:space="0" w:color="BFBFBF"/>
                    <w:bottom w:val="single" w:sz="6" w:space="0" w:color="BFBFBF"/>
                  </w:tcBorders>
                </w:tcPr>
                <w:p w14:paraId="36CED5C5" w14:textId="259F7A8C" w:rsidR="00D021B3" w:rsidRDefault="00D021B3" w:rsidP="00A73132">
                  <w:pPr>
                    <w:pStyle w:val="TableColumnHeading"/>
                  </w:pPr>
                  <w:r w:rsidRPr="0027496D">
                    <w:t>NSW</w:t>
                  </w:r>
                  <w:r w:rsidR="00A73132" w:rsidRPr="00D10D21">
                    <w:rPr>
                      <w:rStyle w:val="NoteLabel"/>
                      <w:i w:val="0"/>
                    </w:rPr>
                    <w:t>c</w:t>
                  </w:r>
                </w:p>
              </w:tc>
              <w:tc>
                <w:tcPr>
                  <w:tcW w:w="602" w:type="pct"/>
                  <w:tcBorders>
                    <w:top w:val="single" w:sz="6" w:space="0" w:color="BFBFBF"/>
                    <w:bottom w:val="single" w:sz="6" w:space="0" w:color="BFBFBF"/>
                  </w:tcBorders>
                  <w:shd w:val="clear" w:color="auto" w:fill="auto"/>
                  <w:tcMar>
                    <w:top w:w="28" w:type="dxa"/>
                  </w:tcMar>
                </w:tcPr>
                <w:p w14:paraId="37EBBD09" w14:textId="48C386BC" w:rsidR="00D021B3" w:rsidRDefault="00FC213C" w:rsidP="00A73132">
                  <w:pPr>
                    <w:pStyle w:val="TableColumnHeading"/>
                  </w:pPr>
                  <w:r>
                    <w:t>Vic</w:t>
                  </w:r>
                  <w:r w:rsidR="00A73132" w:rsidRPr="00D10D21">
                    <w:rPr>
                      <w:rStyle w:val="NoteLabel"/>
                      <w:i w:val="0"/>
                    </w:rPr>
                    <w:t>d</w:t>
                  </w:r>
                </w:p>
              </w:tc>
              <w:tc>
                <w:tcPr>
                  <w:tcW w:w="602" w:type="pct"/>
                  <w:tcBorders>
                    <w:top w:val="single" w:sz="6" w:space="0" w:color="BFBFBF"/>
                    <w:bottom w:val="single" w:sz="6" w:space="0" w:color="BFBFBF"/>
                  </w:tcBorders>
                  <w:shd w:val="clear" w:color="auto" w:fill="auto"/>
                  <w:tcMar>
                    <w:top w:w="28" w:type="dxa"/>
                  </w:tcMar>
                </w:tcPr>
                <w:p w14:paraId="69BFCD45" w14:textId="46C0FAA6" w:rsidR="00D021B3" w:rsidRDefault="00FC213C" w:rsidP="00A73132">
                  <w:pPr>
                    <w:pStyle w:val="TableColumnHeading"/>
                    <w:ind w:right="28"/>
                  </w:pPr>
                  <w:r>
                    <w:t>Qld</w:t>
                  </w:r>
                  <w:r w:rsidR="00A73132" w:rsidRPr="00D10D21">
                    <w:rPr>
                      <w:rStyle w:val="NoteLabel"/>
                      <w:i w:val="0"/>
                    </w:rPr>
                    <w:t>e</w:t>
                  </w:r>
                </w:p>
              </w:tc>
              <w:tc>
                <w:tcPr>
                  <w:tcW w:w="602" w:type="pct"/>
                  <w:tcBorders>
                    <w:top w:val="single" w:sz="6" w:space="0" w:color="BFBFBF"/>
                    <w:bottom w:val="single" w:sz="6" w:space="0" w:color="BFBFBF"/>
                  </w:tcBorders>
                </w:tcPr>
                <w:p w14:paraId="05BBC83C" w14:textId="7536514B" w:rsidR="00D021B3" w:rsidRDefault="00FC213C" w:rsidP="00A73132">
                  <w:pPr>
                    <w:pStyle w:val="TableColumnHeading"/>
                    <w:ind w:right="28"/>
                  </w:pPr>
                  <w:r>
                    <w:t>WA</w:t>
                  </w:r>
                  <w:r w:rsidR="00A73132" w:rsidRPr="00D10D21">
                    <w:rPr>
                      <w:rStyle w:val="NoteLabel"/>
                      <w:i w:val="0"/>
                    </w:rPr>
                    <w:t>f</w:t>
                  </w:r>
                </w:p>
              </w:tc>
              <w:tc>
                <w:tcPr>
                  <w:tcW w:w="603" w:type="pct"/>
                  <w:tcBorders>
                    <w:top w:val="single" w:sz="6" w:space="0" w:color="BFBFBF"/>
                    <w:bottom w:val="single" w:sz="6" w:space="0" w:color="BFBFBF"/>
                  </w:tcBorders>
                </w:tcPr>
                <w:p w14:paraId="0FFD5A66" w14:textId="058AA795" w:rsidR="00D021B3" w:rsidRDefault="00FC213C" w:rsidP="00D021B3">
                  <w:pPr>
                    <w:pStyle w:val="TableColumnHeading"/>
                    <w:ind w:right="28"/>
                  </w:pPr>
                  <w:r>
                    <w:t>SA</w:t>
                  </w:r>
                  <w:r w:rsidR="00A73132" w:rsidRPr="00D10D21">
                    <w:rPr>
                      <w:rStyle w:val="NoteLabel"/>
                      <w:i w:val="0"/>
                    </w:rPr>
                    <w:t>g</w:t>
                  </w:r>
                </w:p>
              </w:tc>
              <w:tc>
                <w:tcPr>
                  <w:tcW w:w="603" w:type="pct"/>
                  <w:tcBorders>
                    <w:top w:val="single" w:sz="6" w:space="0" w:color="BFBFBF"/>
                    <w:bottom w:val="single" w:sz="6" w:space="0" w:color="BFBFBF"/>
                  </w:tcBorders>
                </w:tcPr>
                <w:p w14:paraId="0581C22A" w14:textId="0321797B" w:rsidR="00D021B3" w:rsidRDefault="00FC213C" w:rsidP="00D021B3">
                  <w:pPr>
                    <w:pStyle w:val="TableColumnHeading"/>
                    <w:ind w:right="28"/>
                  </w:pPr>
                  <w:r>
                    <w:t>Tas</w:t>
                  </w:r>
                  <w:r w:rsidR="00A73132" w:rsidRPr="00D10D21">
                    <w:rPr>
                      <w:rStyle w:val="NoteLabel"/>
                      <w:i w:val="0"/>
                    </w:rPr>
                    <w:t>h</w:t>
                  </w:r>
                </w:p>
              </w:tc>
              <w:tc>
                <w:tcPr>
                  <w:tcW w:w="603" w:type="pct"/>
                  <w:tcBorders>
                    <w:top w:val="single" w:sz="6" w:space="0" w:color="BFBFBF"/>
                    <w:bottom w:val="single" w:sz="6" w:space="0" w:color="BFBFBF"/>
                  </w:tcBorders>
                </w:tcPr>
                <w:p w14:paraId="5E028731" w14:textId="363E1D01" w:rsidR="00D021B3" w:rsidRDefault="00D021B3" w:rsidP="00FC213C">
                  <w:pPr>
                    <w:pStyle w:val="TableColumnHeading"/>
                    <w:ind w:right="28"/>
                  </w:pPr>
                  <w:r w:rsidRPr="0027496D">
                    <w:t>ACT</w:t>
                  </w:r>
                  <w:r w:rsidR="00A73132" w:rsidRPr="00D10D21">
                    <w:rPr>
                      <w:rStyle w:val="NoteLabel"/>
                      <w:i w:val="0"/>
                    </w:rPr>
                    <w:t>i</w:t>
                  </w:r>
                </w:p>
              </w:tc>
              <w:tc>
                <w:tcPr>
                  <w:tcW w:w="601" w:type="pct"/>
                  <w:tcBorders>
                    <w:top w:val="single" w:sz="6" w:space="0" w:color="BFBFBF"/>
                    <w:bottom w:val="single" w:sz="6" w:space="0" w:color="BFBFBF"/>
                  </w:tcBorders>
                </w:tcPr>
                <w:p w14:paraId="4294F8CD" w14:textId="5866F2DC" w:rsidR="00D021B3" w:rsidRDefault="00D021B3" w:rsidP="00FC213C">
                  <w:pPr>
                    <w:pStyle w:val="TableColumnHeading"/>
                    <w:ind w:right="28"/>
                  </w:pPr>
                  <w:r w:rsidRPr="0027496D">
                    <w:t>NT</w:t>
                  </w:r>
                  <w:r w:rsidR="00A73132" w:rsidRPr="00D10D21">
                    <w:rPr>
                      <w:rStyle w:val="NoteLabel"/>
                      <w:i w:val="0"/>
                    </w:rPr>
                    <w:t>j</w:t>
                  </w:r>
                </w:p>
              </w:tc>
            </w:tr>
            <w:tr w:rsidR="007172C6" w14:paraId="36C2CED7" w14:textId="77777777" w:rsidTr="00294F76">
              <w:tc>
                <w:tcPr>
                  <w:tcW w:w="345" w:type="pct"/>
                  <w:tcBorders>
                    <w:top w:val="single" w:sz="6" w:space="0" w:color="BFBFBF"/>
                  </w:tcBorders>
                </w:tcPr>
                <w:p w14:paraId="3975F390" w14:textId="67EB0D10" w:rsidR="00D7406B" w:rsidRPr="006624F6" w:rsidRDefault="00D7406B" w:rsidP="00D021B3">
                  <w:pPr>
                    <w:pStyle w:val="TableUnitsRow"/>
                    <w:jc w:val="left"/>
                    <w:rPr>
                      <w:rFonts w:cs="Arial"/>
                      <w:b/>
                      <w:szCs w:val="18"/>
                    </w:rPr>
                  </w:pPr>
                  <w:r w:rsidRPr="006624F6">
                    <w:rPr>
                      <w:rFonts w:cs="Arial"/>
                      <w:b/>
                      <w:szCs w:val="18"/>
                    </w:rPr>
                    <w:t>Eligibility</w:t>
                  </w:r>
                </w:p>
              </w:tc>
              <w:tc>
                <w:tcPr>
                  <w:tcW w:w="439" w:type="pct"/>
                  <w:tcBorders>
                    <w:top w:val="single" w:sz="6" w:space="0" w:color="BFBFBF"/>
                  </w:tcBorders>
                </w:tcPr>
                <w:p w14:paraId="7D0DBA2B" w14:textId="77777777" w:rsidR="00D7406B" w:rsidRPr="00510B19" w:rsidRDefault="00D7406B" w:rsidP="00D021B3">
                  <w:pPr>
                    <w:pStyle w:val="TableUnitsRow"/>
                  </w:pPr>
                </w:p>
              </w:tc>
              <w:tc>
                <w:tcPr>
                  <w:tcW w:w="602" w:type="pct"/>
                  <w:tcBorders>
                    <w:top w:val="single" w:sz="6" w:space="0" w:color="BFBFBF"/>
                  </w:tcBorders>
                </w:tcPr>
                <w:p w14:paraId="12AC022E" w14:textId="77777777" w:rsidR="00D7406B" w:rsidRPr="00510B19" w:rsidRDefault="00D7406B" w:rsidP="00D021B3">
                  <w:pPr>
                    <w:pStyle w:val="TableUnitsRow"/>
                  </w:pPr>
                </w:p>
              </w:tc>
              <w:tc>
                <w:tcPr>
                  <w:tcW w:w="602" w:type="pct"/>
                  <w:tcBorders>
                    <w:top w:val="single" w:sz="6" w:space="0" w:color="BFBFBF"/>
                  </w:tcBorders>
                </w:tcPr>
                <w:p w14:paraId="6BDC4A3E" w14:textId="77777777" w:rsidR="00D7406B" w:rsidRPr="00510B19" w:rsidRDefault="00D7406B" w:rsidP="00D021B3">
                  <w:pPr>
                    <w:pStyle w:val="TableUnitsRow"/>
                    <w:ind w:right="28"/>
                  </w:pPr>
                </w:p>
              </w:tc>
              <w:tc>
                <w:tcPr>
                  <w:tcW w:w="602" w:type="pct"/>
                  <w:tcBorders>
                    <w:top w:val="single" w:sz="6" w:space="0" w:color="BFBFBF"/>
                  </w:tcBorders>
                </w:tcPr>
                <w:p w14:paraId="7D191AD1" w14:textId="77777777" w:rsidR="00D7406B" w:rsidRPr="00510B19" w:rsidRDefault="00D7406B" w:rsidP="00D021B3">
                  <w:pPr>
                    <w:pStyle w:val="TableUnitsRow"/>
                    <w:ind w:right="28"/>
                  </w:pPr>
                </w:p>
              </w:tc>
              <w:tc>
                <w:tcPr>
                  <w:tcW w:w="603" w:type="pct"/>
                  <w:tcBorders>
                    <w:top w:val="single" w:sz="6" w:space="0" w:color="BFBFBF"/>
                  </w:tcBorders>
                </w:tcPr>
                <w:p w14:paraId="4726AC27" w14:textId="77777777" w:rsidR="00D7406B" w:rsidRPr="00510B19" w:rsidRDefault="00D7406B" w:rsidP="00D021B3">
                  <w:pPr>
                    <w:pStyle w:val="TableUnitsRow"/>
                    <w:ind w:right="28"/>
                  </w:pPr>
                </w:p>
              </w:tc>
              <w:tc>
                <w:tcPr>
                  <w:tcW w:w="603" w:type="pct"/>
                  <w:tcBorders>
                    <w:top w:val="single" w:sz="6" w:space="0" w:color="BFBFBF"/>
                  </w:tcBorders>
                </w:tcPr>
                <w:p w14:paraId="31A7211F" w14:textId="77777777" w:rsidR="00D7406B" w:rsidRPr="00510B19" w:rsidRDefault="00D7406B" w:rsidP="00D021B3">
                  <w:pPr>
                    <w:pStyle w:val="TableUnitsRow"/>
                    <w:ind w:right="28"/>
                  </w:pPr>
                </w:p>
              </w:tc>
              <w:tc>
                <w:tcPr>
                  <w:tcW w:w="603" w:type="pct"/>
                  <w:tcBorders>
                    <w:top w:val="single" w:sz="6" w:space="0" w:color="BFBFBF"/>
                  </w:tcBorders>
                </w:tcPr>
                <w:p w14:paraId="73AE6AA4" w14:textId="77777777" w:rsidR="00D7406B" w:rsidRPr="00510B19" w:rsidRDefault="00D7406B" w:rsidP="00D021B3">
                  <w:pPr>
                    <w:pStyle w:val="TableUnitsRow"/>
                    <w:ind w:right="28"/>
                  </w:pPr>
                </w:p>
              </w:tc>
              <w:tc>
                <w:tcPr>
                  <w:tcW w:w="601" w:type="pct"/>
                  <w:tcBorders>
                    <w:top w:val="single" w:sz="6" w:space="0" w:color="BFBFBF"/>
                  </w:tcBorders>
                </w:tcPr>
                <w:p w14:paraId="053E0141" w14:textId="77777777" w:rsidR="00D7406B" w:rsidRPr="00510B19" w:rsidRDefault="00D7406B" w:rsidP="00D021B3">
                  <w:pPr>
                    <w:pStyle w:val="TableUnitsRow"/>
                    <w:ind w:right="28"/>
                  </w:pPr>
                </w:p>
              </w:tc>
            </w:tr>
            <w:tr w:rsidR="007172C6" w14:paraId="4C7B425C" w14:textId="6819A4C4" w:rsidTr="00294F76">
              <w:tc>
                <w:tcPr>
                  <w:tcW w:w="345" w:type="pct"/>
                </w:tcPr>
                <w:p w14:paraId="7D672481" w14:textId="2943E667" w:rsidR="003B1F66" w:rsidRDefault="003B1F66" w:rsidP="003B1F66">
                  <w:pPr>
                    <w:pStyle w:val="TableUnitsRow"/>
                    <w:jc w:val="left"/>
                  </w:pPr>
                  <w:r w:rsidRPr="00D7406B">
                    <w:t>Income limit per week ($)</w:t>
                  </w:r>
                </w:p>
              </w:tc>
              <w:tc>
                <w:tcPr>
                  <w:tcW w:w="439" w:type="pct"/>
                </w:tcPr>
                <w:p w14:paraId="78F06012" w14:textId="01A9F858" w:rsidR="003B1F66" w:rsidRDefault="003B1F66" w:rsidP="00D10D21">
                  <w:pPr>
                    <w:pStyle w:val="TableUnitsRow"/>
                    <w:jc w:val="center"/>
                  </w:pPr>
                  <w:r w:rsidRPr="00F231F4">
                    <w:t>6</w:t>
                  </w:r>
                  <w:r w:rsidR="00DB656C" w:rsidRPr="00F231F4">
                    <w:t>4</w:t>
                  </w:r>
                  <w:r w:rsidRPr="00F231F4">
                    <w:t>0</w:t>
                  </w:r>
                  <w:r w:rsidR="00D10D21">
                    <w:t> </w:t>
                  </w:r>
                  <w:r w:rsidRPr="00510B19">
                    <w:t>(single person)</w:t>
                  </w:r>
                </w:p>
              </w:tc>
              <w:tc>
                <w:tcPr>
                  <w:tcW w:w="602" w:type="pct"/>
                </w:tcPr>
                <w:p w14:paraId="38A29271" w14:textId="4F2AAF8A" w:rsidR="003B1F66" w:rsidRDefault="003B1F66" w:rsidP="00D10D21">
                  <w:pPr>
                    <w:pStyle w:val="TableUnitsRow"/>
                    <w:jc w:val="center"/>
                  </w:pPr>
                  <w:r w:rsidRPr="00F231F4">
                    <w:t>580</w:t>
                  </w:r>
                  <w:r w:rsidR="00D10D21">
                    <w:t> </w:t>
                  </w:r>
                  <w:r w:rsidRPr="00510B19">
                    <w:t>(single person)</w:t>
                  </w:r>
                </w:p>
              </w:tc>
              <w:tc>
                <w:tcPr>
                  <w:tcW w:w="602" w:type="pct"/>
                </w:tcPr>
                <w:p w14:paraId="4FD8D549" w14:textId="0E383D5A" w:rsidR="003B1F66" w:rsidRDefault="003B1F66" w:rsidP="00D10D21">
                  <w:pPr>
                    <w:pStyle w:val="TableUnitsRow"/>
                    <w:ind w:right="28"/>
                    <w:jc w:val="center"/>
                  </w:pPr>
                  <w:r w:rsidRPr="00510B19">
                    <w:t>609</w:t>
                  </w:r>
                  <w:r w:rsidR="00D10D21">
                    <w:t> </w:t>
                  </w:r>
                  <w:r w:rsidRPr="00510B19">
                    <w:t>(single, no children); Limits vary depending on household type</w:t>
                  </w:r>
                </w:p>
              </w:tc>
              <w:tc>
                <w:tcPr>
                  <w:tcW w:w="602" w:type="pct"/>
                </w:tcPr>
                <w:p w14:paraId="5C41F961" w14:textId="5E4CAFB4" w:rsidR="003B1F66" w:rsidRDefault="003B1F66" w:rsidP="00D10D21">
                  <w:pPr>
                    <w:pStyle w:val="TableUnitsRow"/>
                    <w:ind w:right="28"/>
                    <w:jc w:val="center"/>
                  </w:pPr>
                  <w:r w:rsidRPr="00F231F4">
                    <w:t>450</w:t>
                  </w:r>
                  <w:r w:rsidR="00D10D21">
                    <w:t> </w:t>
                  </w:r>
                  <w:r w:rsidRPr="00510B19">
                    <w:t>(single, no children)</w:t>
                  </w:r>
                </w:p>
              </w:tc>
              <w:tc>
                <w:tcPr>
                  <w:tcW w:w="603" w:type="pct"/>
                </w:tcPr>
                <w:p w14:paraId="6A08EE67" w14:textId="43B51EFA" w:rsidR="003B1F66" w:rsidRDefault="003B1F66" w:rsidP="00D10D21">
                  <w:pPr>
                    <w:pStyle w:val="TableUnitsRow"/>
                    <w:ind w:right="28"/>
                    <w:jc w:val="center"/>
                  </w:pPr>
                  <w:r w:rsidRPr="00F231F4">
                    <w:t>1</w:t>
                  </w:r>
                  <w:r w:rsidR="000B5680">
                    <w:t> </w:t>
                  </w:r>
                  <w:r w:rsidRPr="00F231F4">
                    <w:t>016</w:t>
                  </w:r>
                  <w:r w:rsidR="00D10D21">
                    <w:t> </w:t>
                  </w:r>
                  <w:r w:rsidRPr="00510B19">
                    <w:t>(single, no children); Limits vary depending on household type</w:t>
                  </w:r>
                </w:p>
              </w:tc>
              <w:tc>
                <w:tcPr>
                  <w:tcW w:w="603" w:type="pct"/>
                </w:tcPr>
                <w:p w14:paraId="73AEE265" w14:textId="177AB129" w:rsidR="003B1F66" w:rsidRDefault="001200EB" w:rsidP="00D10D21">
                  <w:pPr>
                    <w:pStyle w:val="TableUnitsRow"/>
                    <w:ind w:right="28"/>
                    <w:jc w:val="center"/>
                  </w:pPr>
                  <w:r w:rsidRPr="00F231F4">
                    <w:t>56</w:t>
                  </w:r>
                  <w:r w:rsidR="003B1F66" w:rsidRPr="00F231F4">
                    <w:t>1</w:t>
                  </w:r>
                  <w:r w:rsidR="00D10D21">
                    <w:t> </w:t>
                  </w:r>
                  <w:r w:rsidR="003B1F66" w:rsidRPr="00510B19">
                    <w:t>(single, no children); Limits vary depending on household type</w:t>
                  </w:r>
                </w:p>
              </w:tc>
              <w:tc>
                <w:tcPr>
                  <w:tcW w:w="603" w:type="pct"/>
                </w:tcPr>
                <w:p w14:paraId="17303BFF" w14:textId="1BF2D160" w:rsidR="003B1F66" w:rsidRDefault="003B1F66" w:rsidP="00D10D21">
                  <w:pPr>
                    <w:pStyle w:val="TableUnitsRow"/>
                    <w:ind w:right="28"/>
                    <w:jc w:val="center"/>
                  </w:pPr>
                  <w:r w:rsidRPr="00F231F4">
                    <w:t>75</w:t>
                  </w:r>
                  <w:r w:rsidR="00DD03CC" w:rsidRPr="00F231F4">
                    <w:t>4</w:t>
                  </w:r>
                  <w:r w:rsidR="00D10D21">
                    <w:t> </w:t>
                  </w:r>
                  <w:r w:rsidRPr="00510B19">
                    <w:t>(single</w:t>
                  </w:r>
                  <w:r w:rsidR="00DD03CC">
                    <w:t>,</w:t>
                  </w:r>
                  <w:r w:rsidRPr="00510B19">
                    <w:t xml:space="preserve"> no dependants); Limits vary depending on household type</w:t>
                  </w:r>
                </w:p>
              </w:tc>
              <w:tc>
                <w:tcPr>
                  <w:tcW w:w="601" w:type="pct"/>
                </w:tcPr>
                <w:p w14:paraId="3AD2DA4E" w14:textId="3F5E38E1" w:rsidR="003B1F66" w:rsidRDefault="00F53DC0" w:rsidP="00D10D21">
                  <w:pPr>
                    <w:pStyle w:val="TableUnitsRow"/>
                    <w:ind w:right="28"/>
                    <w:jc w:val="center"/>
                  </w:pPr>
                  <w:r w:rsidRPr="00F231F4">
                    <w:t>820</w:t>
                  </w:r>
                  <w:r w:rsidR="00D10D21">
                    <w:t> </w:t>
                  </w:r>
                  <w:r w:rsidR="003B1F66" w:rsidRPr="00510B19">
                    <w:t>(single, no depend</w:t>
                  </w:r>
                  <w:r w:rsidR="003B1F66">
                    <w:t>a</w:t>
                  </w:r>
                  <w:r w:rsidR="003B1F66" w:rsidRPr="00510B19">
                    <w:t>nt</w:t>
                  </w:r>
                  <w:r w:rsidR="003B1F66">
                    <w:t>s</w:t>
                  </w:r>
                  <w:r w:rsidR="003B1F66" w:rsidRPr="00510B19">
                    <w:t>)</w:t>
                  </w:r>
                </w:p>
              </w:tc>
            </w:tr>
            <w:tr w:rsidR="007172C6" w:rsidRPr="005608CF" w14:paraId="4664E574" w14:textId="460DB9C7" w:rsidTr="003B1F66">
              <w:trPr>
                <w:trHeight w:val="1812"/>
              </w:trPr>
              <w:tc>
                <w:tcPr>
                  <w:tcW w:w="345" w:type="pct"/>
                </w:tcPr>
                <w:p w14:paraId="2FADB264" w14:textId="16CE2227" w:rsidR="003B1F66" w:rsidRPr="005608CF" w:rsidRDefault="003B1F66" w:rsidP="003B1F66">
                  <w:pPr>
                    <w:pStyle w:val="TableBodyText"/>
                    <w:jc w:val="left"/>
                    <w:rPr>
                      <w:szCs w:val="18"/>
                    </w:rPr>
                  </w:pPr>
                  <w:r w:rsidRPr="005608CF">
                    <w:rPr>
                      <w:szCs w:val="18"/>
                    </w:rPr>
                    <w:t>Other asset limits ($)</w:t>
                  </w:r>
                </w:p>
              </w:tc>
              <w:tc>
                <w:tcPr>
                  <w:tcW w:w="439" w:type="pct"/>
                </w:tcPr>
                <w:p w14:paraId="35A1808B" w14:textId="63FDD830" w:rsidR="003B1F66" w:rsidRPr="005608CF" w:rsidRDefault="003B1F66" w:rsidP="003B1F66">
                  <w:pPr>
                    <w:pStyle w:val="TableBodyText"/>
                    <w:jc w:val="center"/>
                    <w:rPr>
                      <w:szCs w:val="18"/>
                    </w:rPr>
                  </w:pPr>
                  <w:r w:rsidRPr="005608CF">
                    <w:rPr>
                      <w:szCs w:val="18"/>
                    </w:rPr>
                    <w:t>Nil</w:t>
                  </w:r>
                </w:p>
              </w:tc>
              <w:tc>
                <w:tcPr>
                  <w:tcW w:w="602" w:type="pct"/>
                </w:tcPr>
                <w:p w14:paraId="32C97813" w14:textId="76A90CD6" w:rsidR="003B1F66" w:rsidRPr="005608CF" w:rsidRDefault="003B1F66" w:rsidP="003B1F66">
                  <w:pPr>
                    <w:pStyle w:val="TableBodyText"/>
                    <w:jc w:val="center"/>
                    <w:rPr>
                      <w:szCs w:val="18"/>
                    </w:rPr>
                  </w:pPr>
                  <w:r w:rsidRPr="00F231F4">
                    <w:rPr>
                      <w:szCs w:val="18"/>
                    </w:rPr>
                    <w:t>13</w:t>
                  </w:r>
                  <w:r w:rsidR="00E64334">
                    <w:rPr>
                      <w:szCs w:val="18"/>
                    </w:rPr>
                    <w:t> </w:t>
                  </w:r>
                  <w:r w:rsidRPr="00F231F4">
                    <w:rPr>
                      <w:szCs w:val="18"/>
                    </w:rPr>
                    <w:t>378</w:t>
                  </w:r>
                  <w:r w:rsidRPr="00AD2DAC">
                    <w:rPr>
                      <w:szCs w:val="18"/>
                    </w:rPr>
                    <w:t xml:space="preserve"> </w:t>
                  </w:r>
                  <w:r>
                    <w:rPr>
                      <w:szCs w:val="18"/>
                    </w:rPr>
                    <w:t xml:space="preserve">(Priority Access); </w:t>
                  </w:r>
                  <w:r w:rsidRPr="00F231F4">
                    <w:rPr>
                      <w:szCs w:val="18"/>
                    </w:rPr>
                    <w:t>33 844</w:t>
                  </w:r>
                  <w:r w:rsidRPr="005608CF">
                    <w:rPr>
                      <w:szCs w:val="18"/>
                    </w:rPr>
                    <w:t xml:space="preserve"> (Register of Interest);</w:t>
                  </w:r>
                </w:p>
                <w:p w14:paraId="0FCD22A6" w14:textId="2A749588" w:rsidR="003B1F66" w:rsidRPr="005608CF" w:rsidRDefault="003B1F66" w:rsidP="003B1F66">
                  <w:pPr>
                    <w:pStyle w:val="TableBodyText"/>
                    <w:jc w:val="center"/>
                    <w:rPr>
                      <w:szCs w:val="18"/>
                    </w:rPr>
                  </w:pPr>
                  <w:r w:rsidRPr="00F231F4">
                    <w:t>112 814</w:t>
                  </w:r>
                  <w:r w:rsidRPr="005608CF">
                    <w:rPr>
                      <w:szCs w:val="18"/>
                    </w:rPr>
                    <w:t xml:space="preserve"> (Disability major modifications needed)</w:t>
                  </w:r>
                </w:p>
              </w:tc>
              <w:tc>
                <w:tcPr>
                  <w:tcW w:w="602" w:type="pct"/>
                </w:tcPr>
                <w:p w14:paraId="4BB6FF17" w14:textId="463DC942" w:rsidR="003B1F66" w:rsidRPr="005608CF" w:rsidRDefault="003B1F66" w:rsidP="003B1F66">
                  <w:pPr>
                    <w:pStyle w:val="TableBodyText"/>
                    <w:ind w:right="28"/>
                    <w:jc w:val="center"/>
                    <w:rPr>
                      <w:szCs w:val="18"/>
                    </w:rPr>
                  </w:pPr>
                  <w:r>
                    <w:rPr>
                      <w:szCs w:val="18"/>
                    </w:rPr>
                    <w:t xml:space="preserve">116 375 (single household) and </w:t>
                  </w:r>
                  <w:r w:rsidRPr="005608CF">
                    <w:rPr>
                      <w:szCs w:val="18"/>
                    </w:rPr>
                    <w:t>148</w:t>
                  </w:r>
                  <w:r>
                    <w:rPr>
                      <w:szCs w:val="18"/>
                    </w:rPr>
                    <w:t> </w:t>
                  </w:r>
                  <w:r w:rsidRPr="005608CF">
                    <w:rPr>
                      <w:szCs w:val="18"/>
                    </w:rPr>
                    <w:t>625 (two or more person household)</w:t>
                  </w:r>
                </w:p>
              </w:tc>
              <w:tc>
                <w:tcPr>
                  <w:tcW w:w="602" w:type="pct"/>
                </w:tcPr>
                <w:p w14:paraId="54BF9855" w14:textId="13F7193F" w:rsidR="003B1F66" w:rsidRPr="005608CF" w:rsidRDefault="003B1F66" w:rsidP="003B1F66">
                  <w:pPr>
                    <w:pStyle w:val="TableBodyText"/>
                    <w:ind w:right="28"/>
                    <w:jc w:val="center"/>
                    <w:rPr>
                      <w:szCs w:val="18"/>
                    </w:rPr>
                  </w:pPr>
                  <w:r w:rsidRPr="005608CF">
                    <w:rPr>
                      <w:szCs w:val="18"/>
                    </w:rPr>
                    <w:t>3</w:t>
                  </w:r>
                  <w:r>
                    <w:rPr>
                      <w:szCs w:val="18"/>
                    </w:rPr>
                    <w:t>8 </w:t>
                  </w:r>
                  <w:r w:rsidRPr="005608CF">
                    <w:rPr>
                      <w:szCs w:val="18"/>
                    </w:rPr>
                    <w:t>400 (Singles over 60 are su</w:t>
                  </w:r>
                  <w:r>
                    <w:rPr>
                      <w:szCs w:val="18"/>
                    </w:rPr>
                    <w:t>bject to a cash asset limit of 80 </w:t>
                  </w:r>
                  <w:r w:rsidRPr="005608CF">
                    <w:rPr>
                      <w:szCs w:val="18"/>
                    </w:rPr>
                    <w:t>000, and singles with a disability may be subject to a cash asset limit of</w:t>
                  </w:r>
                </w:p>
                <w:p w14:paraId="643A56DB" w14:textId="4F3C5FE8" w:rsidR="003B1F66" w:rsidRPr="005608CF" w:rsidRDefault="003B1F66" w:rsidP="003B1F66">
                  <w:pPr>
                    <w:pStyle w:val="TableBodyText"/>
                    <w:ind w:right="28"/>
                    <w:jc w:val="center"/>
                    <w:rPr>
                      <w:szCs w:val="18"/>
                    </w:rPr>
                  </w:pPr>
                  <w:r w:rsidRPr="005608CF">
                    <w:rPr>
                      <w:szCs w:val="18"/>
                    </w:rPr>
                    <w:t>100</w:t>
                  </w:r>
                  <w:r>
                    <w:rPr>
                      <w:szCs w:val="18"/>
                    </w:rPr>
                    <w:t> </w:t>
                  </w:r>
                  <w:r w:rsidRPr="005608CF">
                    <w:rPr>
                      <w:szCs w:val="18"/>
                    </w:rPr>
                    <w:t>000)</w:t>
                  </w:r>
                </w:p>
              </w:tc>
              <w:tc>
                <w:tcPr>
                  <w:tcW w:w="603" w:type="pct"/>
                  <w:shd w:val="clear" w:color="auto" w:fill="auto"/>
                </w:tcPr>
                <w:p w14:paraId="2D22FB88" w14:textId="4B4911E8" w:rsidR="003B1F66" w:rsidRPr="005608CF" w:rsidRDefault="003B1F66" w:rsidP="00E64334">
                  <w:pPr>
                    <w:pStyle w:val="TableBodyText"/>
                    <w:ind w:right="28"/>
                    <w:jc w:val="center"/>
                    <w:rPr>
                      <w:szCs w:val="18"/>
                    </w:rPr>
                  </w:pPr>
                  <w:r w:rsidRPr="00F231F4">
                    <w:rPr>
                      <w:szCs w:val="18"/>
                    </w:rPr>
                    <w:t>473</w:t>
                  </w:r>
                  <w:r w:rsidR="00E64334">
                    <w:rPr>
                      <w:szCs w:val="18"/>
                    </w:rPr>
                    <w:t> </w:t>
                  </w:r>
                  <w:r w:rsidRPr="00F231F4">
                    <w:rPr>
                      <w:szCs w:val="18"/>
                    </w:rPr>
                    <w:t>750</w:t>
                  </w:r>
                  <w:r w:rsidRPr="00A86A9B">
                    <w:t xml:space="preserve"> (single household) and </w:t>
                  </w:r>
                  <w:r w:rsidRPr="00F231F4">
                    <w:t>604 000</w:t>
                  </w:r>
                  <w:r w:rsidRPr="00A86A9B">
                    <w:t xml:space="preserve"> (two or more person household)</w:t>
                  </w:r>
                </w:p>
              </w:tc>
              <w:tc>
                <w:tcPr>
                  <w:tcW w:w="603" w:type="pct"/>
                </w:tcPr>
                <w:p w14:paraId="3218606E" w14:textId="2FADAF5B" w:rsidR="003B1F66" w:rsidRPr="005608CF" w:rsidRDefault="003B1F66" w:rsidP="003B1F66">
                  <w:pPr>
                    <w:pStyle w:val="TableBodyText"/>
                    <w:ind w:right="28"/>
                    <w:jc w:val="center"/>
                    <w:rPr>
                      <w:szCs w:val="18"/>
                    </w:rPr>
                  </w:pPr>
                  <w:r w:rsidRPr="005608CF">
                    <w:rPr>
                      <w:szCs w:val="18"/>
                    </w:rPr>
                    <w:t>35</w:t>
                  </w:r>
                  <w:r>
                    <w:rPr>
                      <w:szCs w:val="18"/>
                    </w:rPr>
                    <w:t> </w:t>
                  </w:r>
                  <w:r w:rsidRPr="005608CF">
                    <w:rPr>
                      <w:szCs w:val="18"/>
                    </w:rPr>
                    <w:t>000</w:t>
                  </w:r>
                </w:p>
              </w:tc>
              <w:tc>
                <w:tcPr>
                  <w:tcW w:w="603" w:type="pct"/>
                </w:tcPr>
                <w:p w14:paraId="6C38357F" w14:textId="11E12B86" w:rsidR="003B1F66" w:rsidRPr="005608CF" w:rsidRDefault="003B1F66" w:rsidP="003B1F66">
                  <w:pPr>
                    <w:pStyle w:val="TableBodyText"/>
                    <w:ind w:right="28"/>
                    <w:jc w:val="center"/>
                    <w:rPr>
                      <w:szCs w:val="18"/>
                    </w:rPr>
                  </w:pPr>
                  <w:r w:rsidRPr="005608CF">
                    <w:rPr>
                      <w:szCs w:val="18"/>
                    </w:rPr>
                    <w:t>4</w:t>
                  </w:r>
                  <w:r>
                    <w:rPr>
                      <w:szCs w:val="18"/>
                    </w:rPr>
                    <w:t>0 </w:t>
                  </w:r>
                  <w:r w:rsidRPr="005608CF">
                    <w:rPr>
                      <w:szCs w:val="18"/>
                    </w:rPr>
                    <w:t>000</w:t>
                  </w:r>
                </w:p>
              </w:tc>
              <w:tc>
                <w:tcPr>
                  <w:tcW w:w="601" w:type="pct"/>
                </w:tcPr>
                <w:p w14:paraId="179CE029" w14:textId="6F613ADC" w:rsidR="003B1F66" w:rsidRPr="005608CF" w:rsidRDefault="00F53DC0" w:rsidP="00E64334">
                  <w:pPr>
                    <w:pStyle w:val="TableBodyText"/>
                    <w:ind w:right="28"/>
                    <w:jc w:val="center"/>
                    <w:rPr>
                      <w:szCs w:val="18"/>
                    </w:rPr>
                  </w:pPr>
                  <w:r w:rsidRPr="00F231F4">
                    <w:rPr>
                      <w:szCs w:val="18"/>
                    </w:rPr>
                    <w:t>70</w:t>
                  </w:r>
                  <w:r w:rsidR="00E64334">
                    <w:rPr>
                      <w:szCs w:val="18"/>
                    </w:rPr>
                    <w:t> </w:t>
                  </w:r>
                  <w:r w:rsidRPr="00F231F4">
                    <w:rPr>
                      <w:szCs w:val="18"/>
                    </w:rPr>
                    <w:t>142</w:t>
                  </w:r>
                  <w:r w:rsidR="003B1F66">
                    <w:rPr>
                      <w:szCs w:val="18"/>
                    </w:rPr>
                    <w:t xml:space="preserve"> (single, no dependa</w:t>
                  </w:r>
                  <w:r w:rsidR="003B1F66" w:rsidRPr="005608CF">
                    <w:rPr>
                      <w:szCs w:val="18"/>
                    </w:rPr>
                    <w:t>nt</w:t>
                  </w:r>
                  <w:r w:rsidR="003B1F66">
                    <w:rPr>
                      <w:szCs w:val="18"/>
                    </w:rPr>
                    <w:t>s</w:t>
                  </w:r>
                  <w:r w:rsidR="003B1F66" w:rsidRPr="005608CF">
                    <w:rPr>
                      <w:szCs w:val="18"/>
                    </w:rPr>
                    <w:t>)</w:t>
                  </w:r>
                </w:p>
              </w:tc>
            </w:tr>
            <w:tr w:rsidR="007172C6" w14:paraId="2A842475" w14:textId="785048B4" w:rsidTr="003B1F66">
              <w:tc>
                <w:tcPr>
                  <w:tcW w:w="345" w:type="pct"/>
                  <w:shd w:val="clear" w:color="auto" w:fill="auto"/>
                </w:tcPr>
                <w:p w14:paraId="27C373A6" w14:textId="550E81CC" w:rsidR="00D7406B" w:rsidRDefault="00D7406B" w:rsidP="00D7406B">
                  <w:pPr>
                    <w:pStyle w:val="TableBodyText"/>
                    <w:jc w:val="left"/>
                  </w:pPr>
                  <w:r w:rsidRPr="00D7406B">
                    <w:t>Minimum age (years)</w:t>
                  </w:r>
                </w:p>
              </w:tc>
              <w:tc>
                <w:tcPr>
                  <w:tcW w:w="439" w:type="pct"/>
                </w:tcPr>
                <w:p w14:paraId="10387F59" w14:textId="212B1132" w:rsidR="00D7406B" w:rsidRDefault="00D7406B" w:rsidP="00D10D21">
                  <w:pPr>
                    <w:pStyle w:val="TableBodyText"/>
                    <w:jc w:val="center"/>
                  </w:pPr>
                  <w:r w:rsidRPr="00E24B62">
                    <w:t>18</w:t>
                  </w:r>
                  <w:r w:rsidR="00D10D21">
                    <w:t> </w:t>
                  </w:r>
                  <w:r w:rsidRPr="00E24B62">
                    <w:t>years</w:t>
                  </w:r>
                </w:p>
              </w:tc>
              <w:tc>
                <w:tcPr>
                  <w:tcW w:w="602" w:type="pct"/>
                  <w:shd w:val="clear" w:color="auto" w:fill="auto"/>
                </w:tcPr>
                <w:p w14:paraId="627A3D37" w14:textId="449B914C" w:rsidR="00D7406B" w:rsidRDefault="00D7406B" w:rsidP="00D10D21">
                  <w:pPr>
                    <w:pStyle w:val="TableBodyText"/>
                    <w:jc w:val="center"/>
                  </w:pPr>
                  <w:r w:rsidRPr="00E24B62">
                    <w:t>15</w:t>
                  </w:r>
                  <w:r w:rsidR="00D10D21">
                    <w:t> </w:t>
                  </w:r>
                  <w:r w:rsidRPr="00E24B62">
                    <w:t xml:space="preserve">as per section 14 1(g) of the </w:t>
                  </w:r>
                  <w:r w:rsidRPr="00952B03">
                    <w:rPr>
                      <w:i/>
                    </w:rPr>
                    <w:t>Housing Act 1983</w:t>
                  </w:r>
                </w:p>
              </w:tc>
              <w:tc>
                <w:tcPr>
                  <w:tcW w:w="602" w:type="pct"/>
                  <w:shd w:val="clear" w:color="auto" w:fill="auto"/>
                </w:tcPr>
                <w:p w14:paraId="068B568D" w14:textId="1F4E7948" w:rsidR="00D7406B" w:rsidRDefault="00D7406B" w:rsidP="000B5680">
                  <w:pPr>
                    <w:pStyle w:val="TableBodyText"/>
                    <w:ind w:right="28"/>
                    <w:jc w:val="center"/>
                  </w:pPr>
                  <w:r w:rsidRPr="00E24B62">
                    <w:t xml:space="preserve">None </w:t>
                  </w:r>
                  <w:r w:rsidR="000B5680">
                    <w:rPr>
                      <w:rFonts w:cs="Arial"/>
                    </w:rPr>
                    <w:t>—</w:t>
                  </w:r>
                  <w:r w:rsidRPr="00E24B62">
                    <w:t xml:space="preserve"> need to meet independent income eligibility criteria</w:t>
                  </w:r>
                </w:p>
              </w:tc>
              <w:tc>
                <w:tcPr>
                  <w:tcW w:w="602" w:type="pct"/>
                </w:tcPr>
                <w:p w14:paraId="39887C6B" w14:textId="4A791F5D" w:rsidR="00D7406B" w:rsidRDefault="00D7406B" w:rsidP="00A83249">
                  <w:pPr>
                    <w:pStyle w:val="TableBodyText"/>
                    <w:ind w:right="28"/>
                    <w:jc w:val="center"/>
                  </w:pPr>
                  <w:r w:rsidRPr="00CC272B">
                    <w:t>16</w:t>
                  </w:r>
                </w:p>
              </w:tc>
              <w:tc>
                <w:tcPr>
                  <w:tcW w:w="603" w:type="pct"/>
                </w:tcPr>
                <w:p w14:paraId="4419EF89" w14:textId="23B50343" w:rsidR="00D7406B" w:rsidRDefault="00D7406B" w:rsidP="00A83249">
                  <w:pPr>
                    <w:pStyle w:val="TableBodyText"/>
                    <w:ind w:right="28"/>
                    <w:jc w:val="center"/>
                  </w:pPr>
                  <w:r w:rsidRPr="00CC272B">
                    <w:t>None</w:t>
                  </w:r>
                </w:p>
              </w:tc>
              <w:tc>
                <w:tcPr>
                  <w:tcW w:w="603" w:type="pct"/>
                </w:tcPr>
                <w:p w14:paraId="32072C5E" w14:textId="724AD7F6" w:rsidR="00D7406B" w:rsidRDefault="00D7406B" w:rsidP="00A83249">
                  <w:pPr>
                    <w:pStyle w:val="TableBodyText"/>
                    <w:ind w:right="28"/>
                    <w:jc w:val="center"/>
                  </w:pPr>
                  <w:r w:rsidRPr="00CC272B">
                    <w:t>16</w:t>
                  </w:r>
                </w:p>
              </w:tc>
              <w:tc>
                <w:tcPr>
                  <w:tcW w:w="603" w:type="pct"/>
                </w:tcPr>
                <w:p w14:paraId="583DE492" w14:textId="3C4BE22B" w:rsidR="00D7406B" w:rsidRDefault="00D7406B" w:rsidP="00A83249">
                  <w:pPr>
                    <w:pStyle w:val="TableBodyText"/>
                    <w:ind w:right="28"/>
                    <w:jc w:val="center"/>
                  </w:pPr>
                  <w:r w:rsidRPr="00CC272B">
                    <w:t>16</w:t>
                  </w:r>
                </w:p>
              </w:tc>
              <w:tc>
                <w:tcPr>
                  <w:tcW w:w="601" w:type="pct"/>
                </w:tcPr>
                <w:p w14:paraId="3B0209FE" w14:textId="46305161" w:rsidR="00D7406B" w:rsidRDefault="00D7406B" w:rsidP="00A83249">
                  <w:pPr>
                    <w:pStyle w:val="TableBodyText"/>
                    <w:ind w:right="28"/>
                    <w:jc w:val="center"/>
                  </w:pPr>
                  <w:r w:rsidRPr="00CC272B">
                    <w:t>16</w:t>
                  </w:r>
                </w:p>
              </w:tc>
            </w:tr>
            <w:tr w:rsidR="007172C6" w:rsidRPr="005608CF" w14:paraId="3F1349CE" w14:textId="77777777" w:rsidTr="0059240F">
              <w:tc>
                <w:tcPr>
                  <w:tcW w:w="345" w:type="pct"/>
                  <w:shd w:val="clear" w:color="auto" w:fill="auto"/>
                </w:tcPr>
                <w:p w14:paraId="4E169D10" w14:textId="54945FF4" w:rsidR="00D7406B" w:rsidRPr="005608CF" w:rsidRDefault="00D7406B" w:rsidP="00D7406B">
                  <w:pPr>
                    <w:pStyle w:val="TableBodyText"/>
                    <w:jc w:val="left"/>
                    <w:rPr>
                      <w:b/>
                      <w:szCs w:val="18"/>
                    </w:rPr>
                  </w:pPr>
                  <w:r w:rsidRPr="005608CF">
                    <w:rPr>
                      <w:b/>
                      <w:szCs w:val="18"/>
                    </w:rPr>
                    <w:t>Waiting list:</w:t>
                  </w:r>
                </w:p>
                <w:p w14:paraId="58F9F382" w14:textId="62FBF255" w:rsidR="00D7406B" w:rsidRPr="005608CF" w:rsidRDefault="00D7406B" w:rsidP="00D7406B">
                  <w:pPr>
                    <w:pStyle w:val="TableBodyText"/>
                    <w:jc w:val="left"/>
                    <w:rPr>
                      <w:b/>
                      <w:szCs w:val="18"/>
                    </w:rPr>
                  </w:pPr>
                  <w:r w:rsidRPr="005608CF">
                    <w:rPr>
                      <w:szCs w:val="18"/>
                    </w:rPr>
                    <w:t>Segment by</w:t>
                  </w:r>
                  <w:r w:rsidRPr="005608CF">
                    <w:rPr>
                      <w:b/>
                      <w:szCs w:val="18"/>
                    </w:rPr>
                    <w:tab/>
                  </w:r>
                  <w:r w:rsidRPr="005608CF">
                    <w:rPr>
                      <w:b/>
                      <w:szCs w:val="18"/>
                    </w:rPr>
                    <w:tab/>
                  </w:r>
                  <w:r w:rsidRPr="005608CF">
                    <w:rPr>
                      <w:b/>
                      <w:szCs w:val="18"/>
                    </w:rPr>
                    <w:tab/>
                  </w:r>
                </w:p>
              </w:tc>
              <w:tc>
                <w:tcPr>
                  <w:tcW w:w="439" w:type="pct"/>
                </w:tcPr>
                <w:p w14:paraId="07FFA390" w14:textId="1C34C0CA" w:rsidR="00D7406B" w:rsidRPr="005608CF" w:rsidRDefault="00D7406B" w:rsidP="007172C6">
                  <w:pPr>
                    <w:pStyle w:val="TableBodyText"/>
                    <w:jc w:val="center"/>
                    <w:rPr>
                      <w:szCs w:val="18"/>
                    </w:rPr>
                  </w:pPr>
                  <w:r w:rsidRPr="005608CF">
                    <w:rPr>
                      <w:szCs w:val="18"/>
                    </w:rPr>
                    <w:t>Single list of approved clients</w:t>
                  </w:r>
                </w:p>
              </w:tc>
              <w:tc>
                <w:tcPr>
                  <w:tcW w:w="602" w:type="pct"/>
                  <w:shd w:val="clear" w:color="auto" w:fill="auto"/>
                </w:tcPr>
                <w:p w14:paraId="75327CEA" w14:textId="7702B693" w:rsidR="00D7406B" w:rsidRPr="005608CF" w:rsidRDefault="00D7406B" w:rsidP="00D10D21">
                  <w:pPr>
                    <w:pStyle w:val="TableBodyText"/>
                    <w:jc w:val="center"/>
                    <w:rPr>
                      <w:szCs w:val="18"/>
                    </w:rPr>
                  </w:pPr>
                  <w:r w:rsidRPr="005608CF">
                    <w:rPr>
                      <w:szCs w:val="18"/>
                    </w:rPr>
                    <w:t>Six</w:t>
                  </w:r>
                  <w:r w:rsidR="00D10D21">
                    <w:rPr>
                      <w:szCs w:val="18"/>
                    </w:rPr>
                    <w:t> </w:t>
                  </w:r>
                  <w:r w:rsidRPr="005608CF">
                    <w:rPr>
                      <w:szCs w:val="18"/>
                    </w:rPr>
                    <w:t>priority segments and a register of interest</w:t>
                  </w:r>
                </w:p>
              </w:tc>
              <w:tc>
                <w:tcPr>
                  <w:tcW w:w="602" w:type="pct"/>
                  <w:shd w:val="clear" w:color="auto" w:fill="auto"/>
                </w:tcPr>
                <w:p w14:paraId="2CEF004A" w14:textId="630E7C74" w:rsidR="00D7406B" w:rsidRPr="005608CF" w:rsidRDefault="003B1F66" w:rsidP="00D10D21">
                  <w:pPr>
                    <w:pStyle w:val="TableBodyText"/>
                    <w:ind w:right="28"/>
                    <w:jc w:val="center"/>
                    <w:rPr>
                      <w:szCs w:val="18"/>
                    </w:rPr>
                  </w:pPr>
                  <w:r w:rsidRPr="00F231F4">
                    <w:rPr>
                      <w:szCs w:val="18"/>
                    </w:rPr>
                    <w:t>Need (</w:t>
                  </w:r>
                  <w:r w:rsidR="002D2834" w:rsidRPr="00F231F4">
                    <w:rPr>
                      <w:szCs w:val="18"/>
                    </w:rPr>
                    <w:t>f</w:t>
                  </w:r>
                  <w:r w:rsidRPr="00F231F4">
                    <w:rPr>
                      <w:szCs w:val="18"/>
                    </w:rPr>
                    <w:t>ou</w:t>
                  </w:r>
                  <w:r w:rsidRPr="00D10D21">
                    <w:rPr>
                      <w:szCs w:val="18"/>
                    </w:rPr>
                    <w:t>r</w:t>
                  </w:r>
                  <w:r w:rsidR="00D10D21" w:rsidRPr="00D10D21">
                    <w:rPr>
                      <w:szCs w:val="18"/>
                    </w:rPr>
                    <w:t> </w:t>
                  </w:r>
                  <w:r w:rsidRPr="00F231F4">
                    <w:rPr>
                      <w:szCs w:val="18"/>
                    </w:rPr>
                    <w:t>segments)</w:t>
                  </w:r>
                </w:p>
              </w:tc>
              <w:tc>
                <w:tcPr>
                  <w:tcW w:w="602" w:type="pct"/>
                </w:tcPr>
                <w:p w14:paraId="67EAE448" w14:textId="276F7BD5" w:rsidR="00D7406B" w:rsidRPr="005608CF" w:rsidRDefault="00D7406B" w:rsidP="00D10D21">
                  <w:pPr>
                    <w:pStyle w:val="TableBodyText"/>
                    <w:ind w:right="28"/>
                    <w:jc w:val="center"/>
                    <w:rPr>
                      <w:szCs w:val="18"/>
                    </w:rPr>
                  </w:pPr>
                  <w:r w:rsidRPr="005608CF">
                    <w:rPr>
                      <w:rFonts w:cs="Arial"/>
                      <w:szCs w:val="18"/>
                    </w:rPr>
                    <w:t>Need</w:t>
                  </w:r>
                  <w:r w:rsidR="00C47BFD">
                    <w:rPr>
                      <w:rFonts w:cs="Arial"/>
                      <w:szCs w:val="18"/>
                    </w:rPr>
                    <w:t xml:space="preserve"> </w:t>
                  </w:r>
                  <w:r w:rsidRPr="005608CF">
                    <w:rPr>
                      <w:rFonts w:cs="Arial"/>
                      <w:szCs w:val="18"/>
                    </w:rPr>
                    <w:t>(four</w:t>
                  </w:r>
                  <w:r w:rsidR="00D10D21">
                    <w:rPr>
                      <w:rFonts w:cs="Arial"/>
                      <w:szCs w:val="18"/>
                    </w:rPr>
                    <w:t> </w:t>
                  </w:r>
                  <w:r w:rsidRPr="005608CF">
                    <w:rPr>
                      <w:rFonts w:cs="Arial"/>
                      <w:szCs w:val="18"/>
                    </w:rPr>
                    <w:t>segments)</w:t>
                  </w:r>
                </w:p>
              </w:tc>
              <w:tc>
                <w:tcPr>
                  <w:tcW w:w="603" w:type="pct"/>
                </w:tcPr>
                <w:p w14:paraId="39449059" w14:textId="42AF7E87" w:rsidR="00D7406B" w:rsidRPr="005608CF" w:rsidRDefault="00D7406B" w:rsidP="00D10D21">
                  <w:pPr>
                    <w:pStyle w:val="TableBodyText"/>
                    <w:ind w:right="28"/>
                    <w:jc w:val="center"/>
                    <w:rPr>
                      <w:szCs w:val="18"/>
                    </w:rPr>
                  </w:pPr>
                  <w:r w:rsidRPr="005608CF">
                    <w:rPr>
                      <w:rFonts w:cs="Arial"/>
                      <w:szCs w:val="18"/>
                    </w:rPr>
                    <w:t>Need (</w:t>
                  </w:r>
                  <w:r w:rsidRPr="00D10D21">
                    <w:t>four</w:t>
                  </w:r>
                  <w:r w:rsidR="00D10D21">
                    <w:t> </w:t>
                  </w:r>
                  <w:r w:rsidRPr="00D10D21">
                    <w:t>segments</w:t>
                  </w:r>
                  <w:r w:rsidRPr="005608CF">
                    <w:rPr>
                      <w:rFonts w:cs="Arial"/>
                      <w:szCs w:val="18"/>
                    </w:rPr>
                    <w:t>)</w:t>
                  </w:r>
                </w:p>
              </w:tc>
              <w:tc>
                <w:tcPr>
                  <w:tcW w:w="603" w:type="pct"/>
                </w:tcPr>
                <w:p w14:paraId="16627948" w14:textId="6AD7CA7D" w:rsidR="00D7406B" w:rsidRPr="005608CF" w:rsidRDefault="00D7406B" w:rsidP="00A83249">
                  <w:pPr>
                    <w:pStyle w:val="TableBodyText"/>
                    <w:ind w:right="28"/>
                    <w:jc w:val="center"/>
                    <w:rPr>
                      <w:szCs w:val="18"/>
                    </w:rPr>
                  </w:pPr>
                  <w:r w:rsidRPr="005608CF">
                    <w:rPr>
                      <w:rFonts w:cs="Arial"/>
                      <w:szCs w:val="18"/>
                    </w:rPr>
                    <w:t>Three levels: Priority (Exiting); Priority; General</w:t>
                  </w:r>
                </w:p>
              </w:tc>
              <w:tc>
                <w:tcPr>
                  <w:tcW w:w="603" w:type="pct"/>
                </w:tcPr>
                <w:p w14:paraId="5AD3758E" w14:textId="085D9113" w:rsidR="00D7406B" w:rsidRPr="005608CF" w:rsidRDefault="00D7406B" w:rsidP="00D10D21">
                  <w:pPr>
                    <w:pStyle w:val="TableBodyText"/>
                    <w:ind w:right="28"/>
                    <w:jc w:val="center"/>
                    <w:rPr>
                      <w:szCs w:val="18"/>
                    </w:rPr>
                  </w:pPr>
                  <w:r w:rsidRPr="005608CF">
                    <w:rPr>
                      <w:rFonts w:cs="Arial"/>
                      <w:szCs w:val="18"/>
                    </w:rPr>
                    <w:t>Need (three</w:t>
                  </w:r>
                  <w:r w:rsidR="00D10D21">
                    <w:rPr>
                      <w:rFonts w:cs="Arial"/>
                      <w:szCs w:val="18"/>
                    </w:rPr>
                    <w:t> </w:t>
                  </w:r>
                  <w:r w:rsidRPr="005608CF">
                    <w:rPr>
                      <w:rFonts w:cs="Arial"/>
                      <w:szCs w:val="18"/>
                    </w:rPr>
                    <w:t>segments)</w:t>
                  </w:r>
                </w:p>
              </w:tc>
              <w:tc>
                <w:tcPr>
                  <w:tcW w:w="601" w:type="pct"/>
                </w:tcPr>
                <w:p w14:paraId="7D519D7A" w14:textId="7BDED854" w:rsidR="00D7406B" w:rsidRPr="005608CF" w:rsidRDefault="00D7406B" w:rsidP="00A83249">
                  <w:pPr>
                    <w:pStyle w:val="TableBodyText"/>
                    <w:ind w:right="28"/>
                    <w:jc w:val="center"/>
                    <w:rPr>
                      <w:szCs w:val="18"/>
                    </w:rPr>
                  </w:pPr>
                  <w:r w:rsidRPr="005608CF">
                    <w:rPr>
                      <w:rFonts w:cs="Arial"/>
                      <w:szCs w:val="18"/>
                    </w:rPr>
                    <w:t>Two segments: Priority; General. Allocated by application date within each segment</w:t>
                  </w:r>
                </w:p>
              </w:tc>
            </w:tr>
            <w:tr w:rsidR="007172C6" w14:paraId="3E0AFA6E" w14:textId="77777777" w:rsidTr="006A057B">
              <w:trPr>
                <w:trHeight w:val="360"/>
              </w:trPr>
              <w:tc>
                <w:tcPr>
                  <w:tcW w:w="345" w:type="pct"/>
                  <w:tcBorders>
                    <w:bottom w:val="single" w:sz="6" w:space="0" w:color="BFBFBF" w:themeColor="background1" w:themeShade="BF"/>
                  </w:tcBorders>
                  <w:shd w:val="clear" w:color="auto" w:fill="auto"/>
                </w:tcPr>
                <w:p w14:paraId="05567F34" w14:textId="77777777" w:rsidR="0069668B" w:rsidRPr="00AF211D" w:rsidRDefault="0069668B" w:rsidP="00D7406B">
                  <w:pPr>
                    <w:pStyle w:val="TableBodyText"/>
                    <w:jc w:val="left"/>
                  </w:pPr>
                </w:p>
              </w:tc>
              <w:tc>
                <w:tcPr>
                  <w:tcW w:w="439" w:type="pct"/>
                  <w:tcBorders>
                    <w:bottom w:val="single" w:sz="6" w:space="0" w:color="BFBFBF" w:themeColor="background1" w:themeShade="BF"/>
                  </w:tcBorders>
                </w:tcPr>
                <w:p w14:paraId="625A9E98" w14:textId="77777777" w:rsidR="0069668B" w:rsidRPr="00E61F69" w:rsidRDefault="0069668B" w:rsidP="00A83249">
                  <w:pPr>
                    <w:pStyle w:val="TableBodyText"/>
                    <w:jc w:val="center"/>
                  </w:pPr>
                </w:p>
              </w:tc>
              <w:tc>
                <w:tcPr>
                  <w:tcW w:w="602" w:type="pct"/>
                  <w:tcBorders>
                    <w:bottom w:val="single" w:sz="6" w:space="0" w:color="BFBFBF" w:themeColor="background1" w:themeShade="BF"/>
                  </w:tcBorders>
                  <w:shd w:val="clear" w:color="auto" w:fill="auto"/>
                </w:tcPr>
                <w:p w14:paraId="4983099B" w14:textId="77777777" w:rsidR="0069668B" w:rsidRPr="00E61F69" w:rsidRDefault="0069668B" w:rsidP="00A83249">
                  <w:pPr>
                    <w:pStyle w:val="TableBodyText"/>
                    <w:jc w:val="center"/>
                  </w:pPr>
                </w:p>
              </w:tc>
              <w:tc>
                <w:tcPr>
                  <w:tcW w:w="602" w:type="pct"/>
                  <w:tcBorders>
                    <w:bottom w:val="single" w:sz="6" w:space="0" w:color="BFBFBF" w:themeColor="background1" w:themeShade="BF"/>
                  </w:tcBorders>
                  <w:shd w:val="clear" w:color="auto" w:fill="auto"/>
                </w:tcPr>
                <w:p w14:paraId="431457B9" w14:textId="77777777" w:rsidR="0069668B" w:rsidRPr="00E61F69" w:rsidRDefault="0069668B" w:rsidP="00A83249">
                  <w:pPr>
                    <w:pStyle w:val="TableBodyText"/>
                    <w:ind w:right="28"/>
                    <w:jc w:val="center"/>
                  </w:pPr>
                </w:p>
              </w:tc>
              <w:tc>
                <w:tcPr>
                  <w:tcW w:w="602" w:type="pct"/>
                  <w:tcBorders>
                    <w:bottom w:val="single" w:sz="6" w:space="0" w:color="BFBFBF" w:themeColor="background1" w:themeShade="BF"/>
                  </w:tcBorders>
                </w:tcPr>
                <w:p w14:paraId="7E763AEE" w14:textId="77777777" w:rsidR="0069668B" w:rsidRPr="00E61F69" w:rsidRDefault="0069668B" w:rsidP="00A83249">
                  <w:pPr>
                    <w:pStyle w:val="TableBodyText"/>
                    <w:ind w:right="28"/>
                    <w:jc w:val="center"/>
                  </w:pPr>
                </w:p>
              </w:tc>
              <w:tc>
                <w:tcPr>
                  <w:tcW w:w="603" w:type="pct"/>
                  <w:tcBorders>
                    <w:bottom w:val="single" w:sz="6" w:space="0" w:color="BFBFBF" w:themeColor="background1" w:themeShade="BF"/>
                  </w:tcBorders>
                </w:tcPr>
                <w:p w14:paraId="18BFBDCA" w14:textId="77777777" w:rsidR="0069668B" w:rsidRPr="00E61F69" w:rsidRDefault="0069668B" w:rsidP="00A83249">
                  <w:pPr>
                    <w:pStyle w:val="TableBodyText"/>
                    <w:ind w:right="28"/>
                    <w:jc w:val="center"/>
                  </w:pPr>
                </w:p>
              </w:tc>
              <w:tc>
                <w:tcPr>
                  <w:tcW w:w="1807" w:type="pct"/>
                  <w:gridSpan w:val="3"/>
                  <w:tcBorders>
                    <w:bottom w:val="single" w:sz="6" w:space="0" w:color="BFBFBF" w:themeColor="background1" w:themeShade="BF"/>
                  </w:tcBorders>
                </w:tcPr>
                <w:p w14:paraId="237441BF" w14:textId="2206DAAF" w:rsidR="0069668B" w:rsidRPr="00E61F69" w:rsidRDefault="0069668B" w:rsidP="006A057B">
                  <w:pPr>
                    <w:pStyle w:val="TableBodyText"/>
                    <w:spacing w:before="80" w:after="0"/>
                    <w:ind w:right="28"/>
                  </w:pPr>
                  <w:r w:rsidRPr="00C52B8F">
                    <w:rPr>
                      <w:szCs w:val="18"/>
                    </w:rPr>
                    <w:t>(continued next page)</w:t>
                  </w:r>
                </w:p>
              </w:tc>
            </w:tr>
          </w:tbl>
          <w:p w14:paraId="2A77700D" w14:textId="34F23096" w:rsidR="00A4323F" w:rsidRPr="00C52B8F" w:rsidRDefault="00A4323F" w:rsidP="00C52B8F">
            <w:pPr>
              <w:pStyle w:val="Box"/>
              <w:jc w:val="right"/>
              <w:rPr>
                <w:sz w:val="18"/>
                <w:szCs w:val="18"/>
              </w:rPr>
            </w:pPr>
          </w:p>
        </w:tc>
      </w:tr>
      <w:tr w:rsidR="0069668B" w14:paraId="75E3EE60" w14:textId="77777777" w:rsidTr="004A21F0">
        <w:trPr>
          <w:trHeight w:val="113"/>
        </w:trPr>
        <w:tc>
          <w:tcPr>
            <w:tcW w:w="5000" w:type="pct"/>
            <w:tcBorders>
              <w:bottom w:val="single" w:sz="4" w:space="0" w:color="78A22F"/>
            </w:tcBorders>
            <w:shd w:val="clear" w:color="auto" w:fill="auto"/>
          </w:tcPr>
          <w:p w14:paraId="4920442A" w14:textId="77777777" w:rsidR="0069668B" w:rsidRDefault="0069668B" w:rsidP="00414467">
            <w:pPr>
              <w:pStyle w:val="Box"/>
              <w:spacing w:before="0" w:line="120" w:lineRule="exact"/>
            </w:pPr>
          </w:p>
        </w:tc>
      </w:tr>
      <w:tr w:rsidR="0069668B" w:rsidRPr="000863A5" w14:paraId="69C5EF99" w14:textId="77777777" w:rsidTr="007B163D">
        <w:tc>
          <w:tcPr>
            <w:tcW w:w="5000" w:type="pct"/>
            <w:tcBorders>
              <w:top w:val="single" w:sz="4" w:space="0" w:color="78A22F"/>
            </w:tcBorders>
            <w:shd w:val="clear" w:color="auto" w:fill="auto"/>
          </w:tcPr>
          <w:p w14:paraId="443CC107" w14:textId="058C5D1D" w:rsidR="0069668B" w:rsidRPr="00626D32" w:rsidRDefault="0069668B" w:rsidP="00414467">
            <w:pPr>
              <w:pStyle w:val="BoxSpaceBelow"/>
            </w:pPr>
          </w:p>
        </w:tc>
      </w:tr>
    </w:tbl>
    <w:p w14:paraId="43B55D1F" w14:textId="77777777" w:rsidR="00021EE0" w:rsidRDefault="00021EE0"/>
    <w:p w14:paraId="58F5E668" w14:textId="77777777" w:rsidR="0069668B" w:rsidRDefault="0069668B" w:rsidP="000E78CF">
      <w:pPr>
        <w:tabs>
          <w:tab w:val="left" w:pos="10632"/>
        </w:tabs>
      </w:pPr>
    </w:p>
    <w:p w14:paraId="2E8ABE1A" w14:textId="74DCCDF7" w:rsidR="00A83249" w:rsidRDefault="00A83249" w:rsidP="0041446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A83249" w14:paraId="00B73C42" w14:textId="77777777" w:rsidTr="00414467">
        <w:trPr>
          <w:tblHeader/>
        </w:trPr>
        <w:tc>
          <w:tcPr>
            <w:tcW w:w="5000" w:type="pct"/>
            <w:tcBorders>
              <w:top w:val="single" w:sz="6" w:space="0" w:color="78A22F"/>
              <w:left w:val="nil"/>
              <w:bottom w:val="nil"/>
              <w:right w:val="nil"/>
            </w:tcBorders>
            <w:shd w:val="clear" w:color="auto" w:fill="auto"/>
          </w:tcPr>
          <w:p w14:paraId="2823CE8A" w14:textId="40A41675" w:rsidR="00A83249" w:rsidRPr="00784A05" w:rsidRDefault="00A83249" w:rsidP="00A16D87">
            <w:pPr>
              <w:pStyle w:val="TableTitle"/>
            </w:pPr>
            <w:r>
              <w:rPr>
                <w:b w:val="0"/>
              </w:rPr>
              <w:t xml:space="preserve">Table </w:t>
            </w:r>
            <w:r w:rsidR="00950FE6">
              <w:rPr>
                <w:b w:val="0"/>
              </w:rPr>
              <w:t>1</w:t>
            </w:r>
            <w:r w:rsidR="00A16D87">
              <w:rPr>
                <w:b w:val="0"/>
              </w:rPr>
              <w:t>8</w:t>
            </w:r>
            <w:r>
              <w:rPr>
                <w:b w:val="0"/>
              </w:rPr>
              <w:t>.1</w:t>
            </w:r>
            <w:r>
              <w:tab/>
            </w:r>
            <w:r w:rsidR="0056118C" w:rsidRPr="001413EB">
              <w:rPr>
                <w:b w:val="0"/>
                <w:sz w:val="18"/>
                <w:szCs w:val="18"/>
              </w:rPr>
              <w:t>(continued)</w:t>
            </w:r>
          </w:p>
        </w:tc>
      </w:tr>
      <w:tr w:rsidR="00A83249" w14:paraId="31839099" w14:textId="77777777" w:rsidTr="0041446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19"/>
              <w:gridCol w:w="1170"/>
              <w:gridCol w:w="1604"/>
              <w:gridCol w:w="1604"/>
              <w:gridCol w:w="1604"/>
              <w:gridCol w:w="1607"/>
              <w:gridCol w:w="1607"/>
              <w:gridCol w:w="1607"/>
              <w:gridCol w:w="1602"/>
            </w:tblGrid>
            <w:tr w:rsidR="00605FE2" w14:paraId="71DD44EE" w14:textId="77777777" w:rsidTr="004A42F7">
              <w:tc>
                <w:tcPr>
                  <w:tcW w:w="345" w:type="pct"/>
                  <w:tcBorders>
                    <w:top w:val="single" w:sz="6" w:space="0" w:color="BFBFBF" w:themeColor="background1" w:themeShade="BF"/>
                    <w:bottom w:val="single" w:sz="6" w:space="0" w:color="BFBFBF" w:themeColor="background1" w:themeShade="BF"/>
                  </w:tcBorders>
                  <w:shd w:val="clear" w:color="auto" w:fill="auto"/>
                </w:tcPr>
                <w:p w14:paraId="52B4B843" w14:textId="73D949DB" w:rsidR="00605FE2" w:rsidRPr="00D1071E" w:rsidRDefault="00605FE2" w:rsidP="00605FE2">
                  <w:pPr>
                    <w:pStyle w:val="TableBodyText"/>
                    <w:jc w:val="left"/>
                    <w:rPr>
                      <w:i/>
                    </w:rPr>
                  </w:pPr>
                </w:p>
              </w:tc>
              <w:tc>
                <w:tcPr>
                  <w:tcW w:w="439" w:type="pct"/>
                  <w:tcBorders>
                    <w:top w:val="single" w:sz="6" w:space="0" w:color="BFBFBF" w:themeColor="background1" w:themeShade="BF"/>
                    <w:bottom w:val="single" w:sz="6" w:space="0" w:color="BFBFBF" w:themeColor="background1" w:themeShade="BF"/>
                  </w:tcBorders>
                </w:tcPr>
                <w:p w14:paraId="7A0DBDAD" w14:textId="4FCE0B4E" w:rsidR="00605FE2" w:rsidRPr="00D1071E" w:rsidRDefault="00605FE2" w:rsidP="00162E7B">
                  <w:pPr>
                    <w:pStyle w:val="TableBodyText"/>
                    <w:jc w:val="center"/>
                    <w:rPr>
                      <w:i/>
                    </w:rPr>
                  </w:pPr>
                  <w:r w:rsidRPr="00D1071E">
                    <w:rPr>
                      <w:i/>
                    </w:rPr>
                    <w:t>NSW</w:t>
                  </w:r>
                  <w:r w:rsidRPr="00600C80">
                    <w:rPr>
                      <w:rStyle w:val="NoteLabel"/>
                    </w:rPr>
                    <w:t>c</w:t>
                  </w:r>
                </w:p>
              </w:tc>
              <w:tc>
                <w:tcPr>
                  <w:tcW w:w="602" w:type="pct"/>
                  <w:tcBorders>
                    <w:top w:val="single" w:sz="6" w:space="0" w:color="BFBFBF" w:themeColor="background1" w:themeShade="BF"/>
                    <w:bottom w:val="single" w:sz="6" w:space="0" w:color="BFBFBF" w:themeColor="background1" w:themeShade="BF"/>
                  </w:tcBorders>
                  <w:shd w:val="clear" w:color="auto" w:fill="auto"/>
                </w:tcPr>
                <w:p w14:paraId="7C327FCB" w14:textId="6A1B122F" w:rsidR="00605FE2" w:rsidRPr="00D1071E" w:rsidRDefault="00605FE2" w:rsidP="00162E7B">
                  <w:pPr>
                    <w:pStyle w:val="TableBodyText"/>
                    <w:spacing w:before="80" w:after="80"/>
                    <w:jc w:val="center"/>
                    <w:rPr>
                      <w:i/>
                    </w:rPr>
                  </w:pPr>
                  <w:r w:rsidRPr="00D1071E">
                    <w:rPr>
                      <w:i/>
                    </w:rPr>
                    <w:t>Vic</w:t>
                  </w:r>
                  <w:r w:rsidRPr="00600C80">
                    <w:rPr>
                      <w:rStyle w:val="NoteLabel"/>
                    </w:rPr>
                    <w:t>d</w:t>
                  </w:r>
                </w:p>
              </w:tc>
              <w:tc>
                <w:tcPr>
                  <w:tcW w:w="602" w:type="pct"/>
                  <w:tcBorders>
                    <w:top w:val="single" w:sz="6" w:space="0" w:color="BFBFBF" w:themeColor="background1" w:themeShade="BF"/>
                    <w:bottom w:val="single" w:sz="6" w:space="0" w:color="BFBFBF" w:themeColor="background1" w:themeShade="BF"/>
                  </w:tcBorders>
                  <w:shd w:val="clear" w:color="auto" w:fill="auto"/>
                </w:tcPr>
                <w:p w14:paraId="385D88F4" w14:textId="5ACECDA1" w:rsidR="00605FE2" w:rsidRPr="00D1071E" w:rsidRDefault="00605FE2" w:rsidP="00162E7B">
                  <w:pPr>
                    <w:pStyle w:val="TableBodyText"/>
                    <w:ind w:right="28"/>
                    <w:jc w:val="center"/>
                    <w:rPr>
                      <w:i/>
                    </w:rPr>
                  </w:pPr>
                  <w:r w:rsidRPr="00D1071E">
                    <w:rPr>
                      <w:i/>
                    </w:rPr>
                    <w:t>Qld</w:t>
                  </w:r>
                  <w:r w:rsidRPr="00600C80">
                    <w:rPr>
                      <w:rStyle w:val="NoteLabel"/>
                    </w:rPr>
                    <w:t>e</w:t>
                  </w:r>
                </w:p>
              </w:tc>
              <w:tc>
                <w:tcPr>
                  <w:tcW w:w="602" w:type="pct"/>
                  <w:tcBorders>
                    <w:top w:val="single" w:sz="6" w:space="0" w:color="BFBFBF" w:themeColor="background1" w:themeShade="BF"/>
                    <w:bottom w:val="single" w:sz="6" w:space="0" w:color="BFBFBF" w:themeColor="background1" w:themeShade="BF"/>
                  </w:tcBorders>
                </w:tcPr>
                <w:p w14:paraId="775BDC5E" w14:textId="0379647D" w:rsidR="00605FE2" w:rsidRPr="00D1071E" w:rsidRDefault="00605FE2" w:rsidP="00162E7B">
                  <w:pPr>
                    <w:pStyle w:val="TableBodyText"/>
                    <w:ind w:right="28"/>
                    <w:jc w:val="center"/>
                    <w:rPr>
                      <w:i/>
                    </w:rPr>
                  </w:pPr>
                  <w:r w:rsidRPr="00D1071E">
                    <w:rPr>
                      <w:i/>
                    </w:rPr>
                    <w:t>WA</w:t>
                  </w:r>
                  <w:r w:rsidRPr="00600C80">
                    <w:rPr>
                      <w:rStyle w:val="NoteLabel"/>
                    </w:rPr>
                    <w:t>f</w:t>
                  </w:r>
                </w:p>
              </w:tc>
              <w:tc>
                <w:tcPr>
                  <w:tcW w:w="603" w:type="pct"/>
                  <w:tcBorders>
                    <w:top w:val="single" w:sz="6" w:space="0" w:color="BFBFBF" w:themeColor="background1" w:themeShade="BF"/>
                    <w:bottom w:val="single" w:sz="6" w:space="0" w:color="BFBFBF" w:themeColor="background1" w:themeShade="BF"/>
                  </w:tcBorders>
                </w:tcPr>
                <w:p w14:paraId="1A21F949" w14:textId="57D1862C" w:rsidR="00605FE2" w:rsidRPr="00D1071E" w:rsidRDefault="00605FE2" w:rsidP="00605FE2">
                  <w:pPr>
                    <w:pStyle w:val="TableBodyText"/>
                    <w:ind w:right="28"/>
                    <w:jc w:val="center"/>
                    <w:rPr>
                      <w:i/>
                    </w:rPr>
                  </w:pPr>
                  <w:r w:rsidRPr="00D1071E">
                    <w:rPr>
                      <w:i/>
                    </w:rPr>
                    <w:t>S</w:t>
                  </w:r>
                  <w:r w:rsidR="00162E7B">
                    <w:rPr>
                      <w:i/>
                    </w:rPr>
                    <w:t>A</w:t>
                  </w:r>
                  <w:r w:rsidRPr="00600C80">
                    <w:rPr>
                      <w:rStyle w:val="NoteLabel"/>
                    </w:rPr>
                    <w:t>g</w:t>
                  </w:r>
                </w:p>
              </w:tc>
              <w:tc>
                <w:tcPr>
                  <w:tcW w:w="603" w:type="pct"/>
                  <w:tcBorders>
                    <w:top w:val="single" w:sz="6" w:space="0" w:color="BFBFBF" w:themeColor="background1" w:themeShade="BF"/>
                    <w:bottom w:val="single" w:sz="6" w:space="0" w:color="BFBFBF" w:themeColor="background1" w:themeShade="BF"/>
                  </w:tcBorders>
                </w:tcPr>
                <w:p w14:paraId="2465382B" w14:textId="1C15316F" w:rsidR="00605FE2" w:rsidRPr="00D1071E" w:rsidRDefault="00605FE2" w:rsidP="00162E7B">
                  <w:pPr>
                    <w:pStyle w:val="TableBodyText"/>
                    <w:ind w:right="28"/>
                    <w:jc w:val="center"/>
                    <w:rPr>
                      <w:i/>
                    </w:rPr>
                  </w:pPr>
                  <w:r w:rsidRPr="00D1071E">
                    <w:rPr>
                      <w:i/>
                    </w:rPr>
                    <w:t>Tas</w:t>
                  </w:r>
                  <w:r w:rsidRPr="00600C80">
                    <w:rPr>
                      <w:rStyle w:val="NoteLabel"/>
                    </w:rPr>
                    <w:t>h</w:t>
                  </w:r>
                </w:p>
              </w:tc>
              <w:tc>
                <w:tcPr>
                  <w:tcW w:w="603" w:type="pct"/>
                  <w:tcBorders>
                    <w:top w:val="single" w:sz="6" w:space="0" w:color="BFBFBF" w:themeColor="background1" w:themeShade="BF"/>
                    <w:bottom w:val="single" w:sz="6" w:space="0" w:color="BFBFBF" w:themeColor="background1" w:themeShade="BF"/>
                  </w:tcBorders>
                </w:tcPr>
                <w:p w14:paraId="5A288A82" w14:textId="0A92CA5D" w:rsidR="00605FE2" w:rsidRPr="00D1071E" w:rsidRDefault="00605FE2" w:rsidP="00162E7B">
                  <w:pPr>
                    <w:pStyle w:val="TableBodyText"/>
                    <w:ind w:right="28"/>
                    <w:jc w:val="center"/>
                    <w:rPr>
                      <w:i/>
                    </w:rPr>
                  </w:pPr>
                  <w:r w:rsidRPr="00D1071E">
                    <w:rPr>
                      <w:i/>
                    </w:rPr>
                    <w:t>ACT</w:t>
                  </w:r>
                  <w:r w:rsidRPr="00600C80">
                    <w:rPr>
                      <w:rStyle w:val="NoteLabel"/>
                    </w:rPr>
                    <w:t>i</w:t>
                  </w:r>
                </w:p>
              </w:tc>
              <w:tc>
                <w:tcPr>
                  <w:tcW w:w="601" w:type="pct"/>
                  <w:tcBorders>
                    <w:top w:val="single" w:sz="6" w:space="0" w:color="BFBFBF" w:themeColor="background1" w:themeShade="BF"/>
                    <w:bottom w:val="single" w:sz="6" w:space="0" w:color="BFBFBF" w:themeColor="background1" w:themeShade="BF"/>
                  </w:tcBorders>
                </w:tcPr>
                <w:p w14:paraId="6056829A" w14:textId="24ED55D3" w:rsidR="00605FE2" w:rsidRPr="00D1071E" w:rsidRDefault="00605FE2" w:rsidP="00162E7B">
                  <w:pPr>
                    <w:pStyle w:val="TableBodyText"/>
                    <w:ind w:right="28"/>
                    <w:jc w:val="center"/>
                    <w:rPr>
                      <w:i/>
                    </w:rPr>
                  </w:pPr>
                  <w:r w:rsidRPr="00D1071E">
                    <w:rPr>
                      <w:i/>
                    </w:rPr>
                    <w:t>NT</w:t>
                  </w:r>
                  <w:r w:rsidRPr="00600C80">
                    <w:rPr>
                      <w:rStyle w:val="NoteLabel"/>
                    </w:rPr>
                    <w:t>j</w:t>
                  </w:r>
                </w:p>
              </w:tc>
            </w:tr>
            <w:tr w:rsidR="00605FE2" w14:paraId="200DF942" w14:textId="77777777" w:rsidTr="004A42F7">
              <w:tc>
                <w:tcPr>
                  <w:tcW w:w="345" w:type="pct"/>
                  <w:tcBorders>
                    <w:top w:val="single" w:sz="6" w:space="0" w:color="BFBFBF" w:themeColor="background1" w:themeShade="BF"/>
                  </w:tcBorders>
                  <w:shd w:val="clear" w:color="auto" w:fill="auto"/>
                </w:tcPr>
                <w:p w14:paraId="5B2BD48D" w14:textId="0FF20B29" w:rsidR="00605FE2" w:rsidRPr="00D7406B" w:rsidRDefault="00605FE2" w:rsidP="00114329">
                  <w:pPr>
                    <w:pStyle w:val="TableBodyText"/>
                    <w:jc w:val="left"/>
                    <w:rPr>
                      <w:b/>
                    </w:rPr>
                  </w:pPr>
                  <w:r w:rsidRPr="00D7406B">
                    <w:rPr>
                      <w:b/>
                    </w:rPr>
                    <w:t>Tenure</w:t>
                  </w:r>
                </w:p>
              </w:tc>
              <w:tc>
                <w:tcPr>
                  <w:tcW w:w="439" w:type="pct"/>
                  <w:tcBorders>
                    <w:top w:val="single" w:sz="6" w:space="0" w:color="BFBFBF" w:themeColor="background1" w:themeShade="BF"/>
                  </w:tcBorders>
                </w:tcPr>
                <w:p w14:paraId="3B861E3C" w14:textId="77777777" w:rsidR="00605FE2" w:rsidRPr="00DC2D26" w:rsidRDefault="00605FE2" w:rsidP="00114329">
                  <w:pPr>
                    <w:pStyle w:val="TableBodyText"/>
                    <w:jc w:val="center"/>
                  </w:pPr>
                </w:p>
              </w:tc>
              <w:tc>
                <w:tcPr>
                  <w:tcW w:w="602" w:type="pct"/>
                  <w:tcBorders>
                    <w:top w:val="single" w:sz="6" w:space="0" w:color="BFBFBF" w:themeColor="background1" w:themeShade="BF"/>
                  </w:tcBorders>
                  <w:shd w:val="clear" w:color="auto" w:fill="auto"/>
                </w:tcPr>
                <w:p w14:paraId="2342A4B0" w14:textId="77777777" w:rsidR="00605FE2" w:rsidRPr="00DC2D26" w:rsidRDefault="00605FE2" w:rsidP="00114329">
                  <w:pPr>
                    <w:pStyle w:val="TableBodyText"/>
                    <w:jc w:val="center"/>
                  </w:pPr>
                </w:p>
              </w:tc>
              <w:tc>
                <w:tcPr>
                  <w:tcW w:w="602" w:type="pct"/>
                  <w:tcBorders>
                    <w:top w:val="single" w:sz="6" w:space="0" w:color="BFBFBF" w:themeColor="background1" w:themeShade="BF"/>
                  </w:tcBorders>
                  <w:shd w:val="clear" w:color="auto" w:fill="auto"/>
                </w:tcPr>
                <w:p w14:paraId="4EB4B2F4" w14:textId="77777777" w:rsidR="00605FE2" w:rsidRPr="00DC2D26" w:rsidRDefault="00605FE2" w:rsidP="00114329">
                  <w:pPr>
                    <w:pStyle w:val="TableBodyText"/>
                    <w:ind w:right="28"/>
                    <w:jc w:val="center"/>
                  </w:pPr>
                </w:p>
              </w:tc>
              <w:tc>
                <w:tcPr>
                  <w:tcW w:w="602" w:type="pct"/>
                  <w:tcBorders>
                    <w:top w:val="single" w:sz="6" w:space="0" w:color="BFBFBF" w:themeColor="background1" w:themeShade="BF"/>
                  </w:tcBorders>
                </w:tcPr>
                <w:p w14:paraId="05420B44" w14:textId="77777777" w:rsidR="00605FE2" w:rsidRPr="00DC2D26" w:rsidRDefault="00605FE2" w:rsidP="00114329">
                  <w:pPr>
                    <w:pStyle w:val="TableBodyText"/>
                    <w:ind w:right="28"/>
                    <w:jc w:val="center"/>
                  </w:pPr>
                </w:p>
              </w:tc>
              <w:tc>
                <w:tcPr>
                  <w:tcW w:w="603" w:type="pct"/>
                  <w:tcBorders>
                    <w:top w:val="single" w:sz="6" w:space="0" w:color="BFBFBF" w:themeColor="background1" w:themeShade="BF"/>
                  </w:tcBorders>
                </w:tcPr>
                <w:p w14:paraId="51B6F443" w14:textId="77777777" w:rsidR="00605FE2" w:rsidRPr="00DC2D26" w:rsidRDefault="00605FE2" w:rsidP="00114329">
                  <w:pPr>
                    <w:pStyle w:val="TableBodyText"/>
                    <w:ind w:right="28"/>
                    <w:jc w:val="center"/>
                  </w:pPr>
                </w:p>
              </w:tc>
              <w:tc>
                <w:tcPr>
                  <w:tcW w:w="603" w:type="pct"/>
                  <w:tcBorders>
                    <w:top w:val="single" w:sz="6" w:space="0" w:color="BFBFBF" w:themeColor="background1" w:themeShade="BF"/>
                  </w:tcBorders>
                </w:tcPr>
                <w:p w14:paraId="72C58FE5" w14:textId="77777777" w:rsidR="00605FE2" w:rsidRPr="00DC2D26" w:rsidRDefault="00605FE2" w:rsidP="00114329">
                  <w:pPr>
                    <w:pStyle w:val="TableBodyText"/>
                    <w:ind w:right="28"/>
                    <w:jc w:val="center"/>
                  </w:pPr>
                </w:p>
              </w:tc>
              <w:tc>
                <w:tcPr>
                  <w:tcW w:w="603" w:type="pct"/>
                  <w:tcBorders>
                    <w:top w:val="single" w:sz="6" w:space="0" w:color="BFBFBF" w:themeColor="background1" w:themeShade="BF"/>
                  </w:tcBorders>
                </w:tcPr>
                <w:p w14:paraId="202E3111" w14:textId="77777777" w:rsidR="00605FE2" w:rsidRPr="00DC2D26" w:rsidRDefault="00605FE2" w:rsidP="00114329">
                  <w:pPr>
                    <w:pStyle w:val="TableBodyText"/>
                    <w:ind w:right="28"/>
                    <w:jc w:val="center"/>
                  </w:pPr>
                </w:p>
              </w:tc>
              <w:tc>
                <w:tcPr>
                  <w:tcW w:w="601" w:type="pct"/>
                  <w:tcBorders>
                    <w:top w:val="single" w:sz="6" w:space="0" w:color="BFBFBF" w:themeColor="background1" w:themeShade="BF"/>
                  </w:tcBorders>
                </w:tcPr>
                <w:p w14:paraId="271D09CE" w14:textId="77777777" w:rsidR="00605FE2" w:rsidRPr="00DC2D26" w:rsidRDefault="00605FE2" w:rsidP="00114329">
                  <w:pPr>
                    <w:pStyle w:val="TableBodyText"/>
                    <w:ind w:right="28"/>
                    <w:jc w:val="center"/>
                  </w:pPr>
                </w:p>
              </w:tc>
            </w:tr>
            <w:tr w:rsidR="00114329" w14:paraId="74D78C76" w14:textId="77777777" w:rsidTr="00E81D96">
              <w:tc>
                <w:tcPr>
                  <w:tcW w:w="345" w:type="pct"/>
                  <w:shd w:val="clear" w:color="auto" w:fill="auto"/>
                </w:tcPr>
                <w:p w14:paraId="50AA4962" w14:textId="0D1F81EC" w:rsidR="00114329" w:rsidRPr="00AF211D" w:rsidRDefault="00114329" w:rsidP="00114329">
                  <w:pPr>
                    <w:pStyle w:val="TableBodyText"/>
                    <w:jc w:val="left"/>
                  </w:pPr>
                  <w:r w:rsidRPr="00AF211D">
                    <w:t>Probation period</w:t>
                  </w:r>
                </w:p>
              </w:tc>
              <w:tc>
                <w:tcPr>
                  <w:tcW w:w="439" w:type="pct"/>
                </w:tcPr>
                <w:p w14:paraId="2FCE163C" w14:textId="591C23DA" w:rsidR="00114329" w:rsidRPr="00DC2D26" w:rsidRDefault="00114329" w:rsidP="00E64334">
                  <w:pPr>
                    <w:pStyle w:val="TableBodyText"/>
                    <w:jc w:val="center"/>
                  </w:pPr>
                  <w:r w:rsidRPr="00E61F69">
                    <w:t>12</w:t>
                  </w:r>
                  <w:r w:rsidR="00E64334">
                    <w:t> </w:t>
                  </w:r>
                  <w:r w:rsidRPr="00E61F69">
                    <w:t>months</w:t>
                  </w:r>
                </w:p>
              </w:tc>
              <w:tc>
                <w:tcPr>
                  <w:tcW w:w="602" w:type="pct"/>
                  <w:shd w:val="clear" w:color="auto" w:fill="auto"/>
                </w:tcPr>
                <w:p w14:paraId="1037C947" w14:textId="6FDEBEB2" w:rsidR="00114329" w:rsidRPr="00DC2D26" w:rsidRDefault="00114329" w:rsidP="00114329">
                  <w:pPr>
                    <w:pStyle w:val="TableBodyText"/>
                    <w:jc w:val="center"/>
                  </w:pPr>
                  <w:r w:rsidRPr="00E61F69">
                    <w:t>None</w:t>
                  </w:r>
                </w:p>
              </w:tc>
              <w:tc>
                <w:tcPr>
                  <w:tcW w:w="602" w:type="pct"/>
                  <w:shd w:val="clear" w:color="auto" w:fill="auto"/>
                </w:tcPr>
                <w:p w14:paraId="4731553A" w14:textId="4F46AFB8" w:rsidR="00114329" w:rsidRPr="00DC2D26" w:rsidRDefault="00114329" w:rsidP="00114329">
                  <w:pPr>
                    <w:pStyle w:val="TableBodyText"/>
                    <w:ind w:right="28"/>
                    <w:jc w:val="center"/>
                  </w:pPr>
                  <w:r w:rsidRPr="00E61F69">
                    <w:t>None</w:t>
                  </w:r>
                </w:p>
              </w:tc>
              <w:tc>
                <w:tcPr>
                  <w:tcW w:w="602" w:type="pct"/>
                </w:tcPr>
                <w:p w14:paraId="4A9F60E5" w14:textId="65D005D3" w:rsidR="00114329" w:rsidRPr="00DC2D26" w:rsidRDefault="00114329" w:rsidP="00114329">
                  <w:pPr>
                    <w:pStyle w:val="TableBodyText"/>
                    <w:ind w:right="28"/>
                    <w:jc w:val="center"/>
                  </w:pPr>
                  <w:r w:rsidRPr="00E61F69">
                    <w:t>None</w:t>
                  </w:r>
                </w:p>
              </w:tc>
              <w:tc>
                <w:tcPr>
                  <w:tcW w:w="603" w:type="pct"/>
                </w:tcPr>
                <w:p w14:paraId="5F550E53" w14:textId="585F046C" w:rsidR="00114329" w:rsidRPr="00DC2D26" w:rsidRDefault="00114329" w:rsidP="00E64334">
                  <w:pPr>
                    <w:pStyle w:val="TableBodyText"/>
                    <w:ind w:right="28"/>
                    <w:jc w:val="center"/>
                  </w:pPr>
                  <w:r w:rsidRPr="00E61F69">
                    <w:t>12 months (up to 24</w:t>
                  </w:r>
                  <w:r w:rsidR="00E64334">
                    <w:t> </w:t>
                  </w:r>
                  <w:r w:rsidRPr="00E61F69">
                    <w:t>months where required)</w:t>
                  </w:r>
                </w:p>
              </w:tc>
              <w:tc>
                <w:tcPr>
                  <w:tcW w:w="603" w:type="pct"/>
                </w:tcPr>
                <w:p w14:paraId="5D137DE3" w14:textId="57076B4F" w:rsidR="00114329" w:rsidRPr="00DC2D26" w:rsidRDefault="00114329" w:rsidP="00114329">
                  <w:pPr>
                    <w:pStyle w:val="TableBodyText"/>
                    <w:ind w:right="28"/>
                    <w:jc w:val="center"/>
                  </w:pPr>
                  <w:r w:rsidRPr="00E61F69">
                    <w:t>6 months</w:t>
                  </w:r>
                </w:p>
              </w:tc>
              <w:tc>
                <w:tcPr>
                  <w:tcW w:w="603" w:type="pct"/>
                </w:tcPr>
                <w:p w14:paraId="4FD15158" w14:textId="52ACA2B8" w:rsidR="00114329" w:rsidRPr="00DC2D26" w:rsidRDefault="00114329" w:rsidP="00114329">
                  <w:pPr>
                    <w:pStyle w:val="TableBodyText"/>
                    <w:ind w:right="28"/>
                    <w:jc w:val="center"/>
                  </w:pPr>
                  <w:r w:rsidRPr="00E61F69">
                    <w:t>None</w:t>
                  </w:r>
                </w:p>
              </w:tc>
              <w:tc>
                <w:tcPr>
                  <w:tcW w:w="601" w:type="pct"/>
                </w:tcPr>
                <w:p w14:paraId="2C2A7BAE" w14:textId="51FD2DB5" w:rsidR="00114329" w:rsidRPr="00DC2D26" w:rsidRDefault="00114329" w:rsidP="00D10D21">
                  <w:pPr>
                    <w:pStyle w:val="TableBodyText"/>
                    <w:ind w:right="28"/>
                    <w:jc w:val="center"/>
                  </w:pPr>
                  <w:r w:rsidRPr="00E61F69">
                    <w:t>6</w:t>
                  </w:r>
                  <w:r w:rsidR="00D10D21">
                    <w:t> </w:t>
                  </w:r>
                  <w:r w:rsidRPr="00E61F69">
                    <w:t>months</w:t>
                  </w:r>
                </w:p>
              </w:tc>
            </w:tr>
            <w:tr w:rsidR="00021EE0" w14:paraId="6EC1A535" w14:textId="77777777" w:rsidTr="00E35D53">
              <w:tc>
                <w:tcPr>
                  <w:tcW w:w="345" w:type="pct"/>
                  <w:shd w:val="clear" w:color="auto" w:fill="auto"/>
                </w:tcPr>
                <w:p w14:paraId="7F31A06F" w14:textId="77777777" w:rsidR="00021EE0" w:rsidRDefault="00021EE0" w:rsidP="00021EE0">
                  <w:pPr>
                    <w:pStyle w:val="TableBodyText"/>
                    <w:jc w:val="left"/>
                  </w:pPr>
                  <w:r w:rsidRPr="00AF211D">
                    <w:t>Fixed term</w:t>
                  </w:r>
                </w:p>
              </w:tc>
              <w:tc>
                <w:tcPr>
                  <w:tcW w:w="439" w:type="pct"/>
                </w:tcPr>
                <w:p w14:paraId="2DE4BC16" w14:textId="4DC4266A" w:rsidR="00021EE0" w:rsidRDefault="00021EE0" w:rsidP="000B5AFE">
                  <w:pPr>
                    <w:pStyle w:val="TableBodyText"/>
                    <w:ind w:left="0"/>
                    <w:jc w:val="center"/>
                  </w:pPr>
                  <w:r w:rsidRPr="00DC2D26">
                    <w:t>2,</w:t>
                  </w:r>
                  <w:r w:rsidR="00E64334">
                    <w:t> </w:t>
                  </w:r>
                  <w:r w:rsidR="000B5AFE">
                    <w:t>5 or 10 </w:t>
                  </w:r>
                  <w:r w:rsidRPr="00DC2D26">
                    <w:t>years</w:t>
                  </w:r>
                </w:p>
              </w:tc>
              <w:tc>
                <w:tcPr>
                  <w:tcW w:w="602" w:type="pct"/>
                  <w:shd w:val="clear" w:color="auto" w:fill="auto"/>
                </w:tcPr>
                <w:p w14:paraId="3B1051EA" w14:textId="77777777" w:rsidR="00021EE0" w:rsidRDefault="00021EE0" w:rsidP="00021EE0">
                  <w:pPr>
                    <w:pStyle w:val="TableBodyText"/>
                    <w:jc w:val="center"/>
                  </w:pPr>
                  <w:r w:rsidRPr="00DC2D26">
                    <w:t>None</w:t>
                  </w:r>
                </w:p>
              </w:tc>
              <w:tc>
                <w:tcPr>
                  <w:tcW w:w="602" w:type="pct"/>
                  <w:shd w:val="clear" w:color="auto" w:fill="auto"/>
                </w:tcPr>
                <w:p w14:paraId="7C234124" w14:textId="48A59BB3" w:rsidR="00021EE0" w:rsidRDefault="006331C4" w:rsidP="000B5AFE">
                  <w:pPr>
                    <w:pStyle w:val="TableBodyText"/>
                    <w:ind w:right="28"/>
                    <w:jc w:val="center"/>
                  </w:pPr>
                  <w:r w:rsidRPr="00B611D1">
                    <w:t>3</w:t>
                  </w:r>
                  <w:r w:rsidR="000B5AFE">
                    <w:t> </w:t>
                  </w:r>
                  <w:r w:rsidRPr="00B611D1">
                    <w:t>years</w:t>
                  </w:r>
                  <w:r w:rsidR="00915998" w:rsidRPr="00B611D1">
                    <w:t xml:space="preserve"> (new</w:t>
                  </w:r>
                  <w:r w:rsidR="00915998" w:rsidRPr="00B611D1">
                    <w:rPr>
                      <w:shd w:val="clear" w:color="auto" w:fill="FFFF00"/>
                    </w:rPr>
                    <w:t xml:space="preserve"> </w:t>
                  </w:r>
                  <w:r w:rsidR="00915998" w:rsidRPr="00B611D1">
                    <w:t>tenancies)</w:t>
                  </w:r>
                </w:p>
              </w:tc>
              <w:tc>
                <w:tcPr>
                  <w:tcW w:w="602" w:type="pct"/>
                </w:tcPr>
                <w:p w14:paraId="6F86F8B0" w14:textId="77777777" w:rsidR="00021EE0" w:rsidRDefault="00021EE0" w:rsidP="00021EE0">
                  <w:pPr>
                    <w:pStyle w:val="TableBodyText"/>
                    <w:ind w:right="28"/>
                    <w:jc w:val="center"/>
                  </w:pPr>
                  <w:r w:rsidRPr="00DC2D26">
                    <w:t>3 and 6 months</w:t>
                  </w:r>
                </w:p>
              </w:tc>
              <w:tc>
                <w:tcPr>
                  <w:tcW w:w="603" w:type="pct"/>
                </w:tcPr>
                <w:p w14:paraId="27FF6675" w14:textId="577862DD" w:rsidR="00021EE0" w:rsidRDefault="00021EE0" w:rsidP="000B5AFE">
                  <w:pPr>
                    <w:pStyle w:val="TableBodyText"/>
                    <w:ind w:right="28"/>
                    <w:jc w:val="center"/>
                  </w:pPr>
                  <w:r w:rsidRPr="00DC2D26">
                    <w:t>1,</w:t>
                  </w:r>
                  <w:r w:rsidR="00E64334">
                    <w:t> </w:t>
                  </w:r>
                  <w:r w:rsidRPr="00DC2D26">
                    <w:t>2,</w:t>
                  </w:r>
                  <w:r w:rsidR="00E64334">
                    <w:t> 5</w:t>
                  </w:r>
                  <w:r w:rsidR="000B5AFE">
                    <w:t> </w:t>
                  </w:r>
                  <w:r w:rsidR="00E64334">
                    <w:t>and 10 </w:t>
                  </w:r>
                  <w:r w:rsidRPr="00DC2D26">
                    <w:t>years</w:t>
                  </w:r>
                </w:p>
              </w:tc>
              <w:tc>
                <w:tcPr>
                  <w:tcW w:w="603" w:type="pct"/>
                </w:tcPr>
                <w:p w14:paraId="0C0A6D59" w14:textId="47E8B29D" w:rsidR="00021EE0" w:rsidRDefault="00021EE0" w:rsidP="00915998">
                  <w:pPr>
                    <w:pStyle w:val="TableBodyText"/>
                    <w:ind w:right="28"/>
                    <w:jc w:val="center"/>
                  </w:pPr>
                  <w:r w:rsidRPr="00DC2D26">
                    <w:t>V</w:t>
                  </w:r>
                  <w:r w:rsidR="00E64334">
                    <w:t>ariable length (up to 3 </w:t>
                  </w:r>
                  <w:r w:rsidRPr="00DC2D26">
                    <w:t>years)</w:t>
                  </w:r>
                </w:p>
              </w:tc>
              <w:tc>
                <w:tcPr>
                  <w:tcW w:w="603" w:type="pct"/>
                </w:tcPr>
                <w:p w14:paraId="0711B6D1" w14:textId="6837DD36" w:rsidR="00021EE0" w:rsidRDefault="00915998" w:rsidP="00915998">
                  <w:pPr>
                    <w:pStyle w:val="TableBodyText"/>
                    <w:ind w:right="28"/>
                    <w:jc w:val="center"/>
                  </w:pPr>
                  <w:r>
                    <w:t>A</w:t>
                  </w:r>
                  <w:r w:rsidR="00021EE0" w:rsidRPr="00DC2D26">
                    <w:t>ppl</w:t>
                  </w:r>
                  <w:r>
                    <w:t>y</w:t>
                  </w:r>
                  <w:r w:rsidR="00021EE0" w:rsidRPr="00DC2D26">
                    <w:t xml:space="preserve"> in specific circumstances</w:t>
                  </w:r>
                </w:p>
              </w:tc>
              <w:tc>
                <w:tcPr>
                  <w:tcW w:w="601" w:type="pct"/>
                  <w:shd w:val="clear" w:color="auto" w:fill="auto"/>
                </w:tcPr>
                <w:p w14:paraId="4D9F2E57" w14:textId="6E84C77A" w:rsidR="00021EE0" w:rsidRDefault="00B611D1" w:rsidP="00915998">
                  <w:pPr>
                    <w:pStyle w:val="TableBodyText"/>
                    <w:ind w:right="28"/>
                    <w:jc w:val="center"/>
                  </w:pPr>
                  <w:r w:rsidRPr="00B611D1">
                    <w:t>Offered as a probationary agreement only</w:t>
                  </w:r>
                </w:p>
              </w:tc>
            </w:tr>
            <w:tr w:rsidR="00021EE0" w14:paraId="4B3FCC3B" w14:textId="77777777" w:rsidTr="00E81D96">
              <w:tc>
                <w:tcPr>
                  <w:tcW w:w="345" w:type="pct"/>
                  <w:shd w:val="clear" w:color="auto" w:fill="auto"/>
                </w:tcPr>
                <w:p w14:paraId="15EBC7C9" w14:textId="77777777" w:rsidR="00021EE0" w:rsidRDefault="00021EE0" w:rsidP="00021EE0">
                  <w:pPr>
                    <w:pStyle w:val="TableBodyText"/>
                    <w:jc w:val="left"/>
                  </w:pPr>
                  <w:r w:rsidRPr="00AF211D">
                    <w:t>Ongoing</w:t>
                  </w:r>
                </w:p>
              </w:tc>
              <w:tc>
                <w:tcPr>
                  <w:tcW w:w="439" w:type="pct"/>
                </w:tcPr>
                <w:p w14:paraId="115C224B" w14:textId="77777777" w:rsidR="00021EE0" w:rsidRDefault="00021EE0" w:rsidP="00021EE0">
                  <w:pPr>
                    <w:pStyle w:val="TableBodyText"/>
                    <w:jc w:val="center"/>
                  </w:pPr>
                  <w:r w:rsidRPr="009B7D35">
                    <w:t>Yes</w:t>
                  </w:r>
                </w:p>
              </w:tc>
              <w:tc>
                <w:tcPr>
                  <w:tcW w:w="602" w:type="pct"/>
                  <w:shd w:val="clear" w:color="auto" w:fill="auto"/>
                </w:tcPr>
                <w:p w14:paraId="169C5A89" w14:textId="77777777" w:rsidR="00021EE0" w:rsidRDefault="00021EE0" w:rsidP="00021EE0">
                  <w:pPr>
                    <w:pStyle w:val="TableBodyText"/>
                    <w:jc w:val="center"/>
                  </w:pPr>
                  <w:r w:rsidRPr="009B7D35">
                    <w:t>Yes</w:t>
                  </w:r>
                </w:p>
              </w:tc>
              <w:tc>
                <w:tcPr>
                  <w:tcW w:w="602" w:type="pct"/>
                  <w:shd w:val="clear" w:color="auto" w:fill="auto"/>
                </w:tcPr>
                <w:p w14:paraId="0749F198" w14:textId="77777777" w:rsidR="00021EE0" w:rsidRDefault="00021EE0" w:rsidP="00021EE0">
                  <w:pPr>
                    <w:pStyle w:val="TableBodyText"/>
                    <w:ind w:right="28"/>
                    <w:jc w:val="center"/>
                  </w:pPr>
                  <w:r w:rsidRPr="009B7D35">
                    <w:t>Subject to review</w:t>
                  </w:r>
                </w:p>
              </w:tc>
              <w:tc>
                <w:tcPr>
                  <w:tcW w:w="602" w:type="pct"/>
                </w:tcPr>
                <w:p w14:paraId="3AC6140F" w14:textId="77777777" w:rsidR="00021EE0" w:rsidRDefault="00021EE0" w:rsidP="00021EE0">
                  <w:pPr>
                    <w:pStyle w:val="TableBodyText"/>
                    <w:ind w:right="28"/>
                    <w:jc w:val="center"/>
                  </w:pPr>
                  <w:r w:rsidRPr="009B7D35">
                    <w:t>Ongoing</w:t>
                  </w:r>
                </w:p>
              </w:tc>
              <w:tc>
                <w:tcPr>
                  <w:tcW w:w="603" w:type="pct"/>
                </w:tcPr>
                <w:p w14:paraId="5BFC53FF" w14:textId="509F01A1" w:rsidR="00021EE0" w:rsidRDefault="00021EE0" w:rsidP="00E64334">
                  <w:pPr>
                    <w:pStyle w:val="TableBodyText"/>
                    <w:ind w:right="28"/>
                    <w:jc w:val="center"/>
                  </w:pPr>
                  <w:r w:rsidRPr="009B7D35">
                    <w:t>Ongoing leases a</w:t>
                  </w:r>
                  <w:r w:rsidR="00F41631">
                    <w:t>pply to tenants housed before 1 </w:t>
                  </w:r>
                  <w:r w:rsidRPr="009B7D35">
                    <w:t>October</w:t>
                  </w:r>
                  <w:r w:rsidR="00E64334">
                    <w:t> </w:t>
                  </w:r>
                  <w:r w:rsidRPr="009B7D35">
                    <w:t>2010</w:t>
                  </w:r>
                </w:p>
              </w:tc>
              <w:tc>
                <w:tcPr>
                  <w:tcW w:w="603" w:type="pct"/>
                </w:tcPr>
                <w:p w14:paraId="7A2F4196" w14:textId="77777777" w:rsidR="00021EE0" w:rsidRDefault="00021EE0" w:rsidP="00021EE0">
                  <w:pPr>
                    <w:pStyle w:val="TableBodyText"/>
                    <w:ind w:right="28"/>
                    <w:jc w:val="center"/>
                  </w:pPr>
                  <w:r w:rsidRPr="009B7D35">
                    <w:t>na</w:t>
                  </w:r>
                </w:p>
              </w:tc>
              <w:tc>
                <w:tcPr>
                  <w:tcW w:w="603" w:type="pct"/>
                </w:tcPr>
                <w:p w14:paraId="01F4238A" w14:textId="77777777" w:rsidR="00021EE0" w:rsidRDefault="00021EE0" w:rsidP="00021EE0">
                  <w:pPr>
                    <w:pStyle w:val="TableBodyText"/>
                    <w:ind w:right="28"/>
                    <w:jc w:val="center"/>
                  </w:pPr>
                  <w:r w:rsidRPr="009B7D35">
                    <w:t>Yes</w:t>
                  </w:r>
                </w:p>
              </w:tc>
              <w:tc>
                <w:tcPr>
                  <w:tcW w:w="601" w:type="pct"/>
                </w:tcPr>
                <w:p w14:paraId="0E0404FB" w14:textId="77777777" w:rsidR="00021EE0" w:rsidRDefault="00021EE0" w:rsidP="00021EE0">
                  <w:pPr>
                    <w:pStyle w:val="TableBodyText"/>
                    <w:ind w:right="28"/>
                    <w:jc w:val="center"/>
                  </w:pPr>
                  <w:r w:rsidRPr="009B7D35">
                    <w:t>Yes</w:t>
                  </w:r>
                </w:p>
              </w:tc>
            </w:tr>
            <w:tr w:rsidR="00021EE0" w14:paraId="4FF402ED" w14:textId="77777777" w:rsidTr="00E81D96">
              <w:tc>
                <w:tcPr>
                  <w:tcW w:w="345" w:type="pct"/>
                  <w:shd w:val="clear" w:color="auto" w:fill="auto"/>
                </w:tcPr>
                <w:p w14:paraId="698AC301" w14:textId="77777777" w:rsidR="00021EE0" w:rsidRDefault="00021EE0" w:rsidP="00021EE0">
                  <w:pPr>
                    <w:pStyle w:val="TableBodyText"/>
                    <w:jc w:val="left"/>
                  </w:pPr>
                  <w:r w:rsidRPr="00D7406B">
                    <w:t>Tenancy review</w:t>
                  </w:r>
                  <w:r w:rsidRPr="00D7406B">
                    <w:tab/>
                  </w:r>
                  <w:r w:rsidRPr="00D7406B">
                    <w:tab/>
                  </w:r>
                  <w:r w:rsidRPr="00D7406B">
                    <w:tab/>
                  </w:r>
                </w:p>
              </w:tc>
              <w:tc>
                <w:tcPr>
                  <w:tcW w:w="439" w:type="pct"/>
                </w:tcPr>
                <w:p w14:paraId="0B67F9D3" w14:textId="77777777" w:rsidR="00021EE0" w:rsidRDefault="00021EE0" w:rsidP="00021EE0">
                  <w:pPr>
                    <w:pStyle w:val="TableBodyText"/>
                    <w:jc w:val="center"/>
                  </w:pPr>
                  <w:r w:rsidRPr="004F2E81">
                    <w:t>Yes</w:t>
                  </w:r>
                </w:p>
              </w:tc>
              <w:tc>
                <w:tcPr>
                  <w:tcW w:w="602" w:type="pct"/>
                  <w:shd w:val="clear" w:color="auto" w:fill="auto"/>
                </w:tcPr>
                <w:p w14:paraId="2EE7BBD1" w14:textId="77777777" w:rsidR="00021EE0" w:rsidRDefault="00021EE0" w:rsidP="00021EE0">
                  <w:pPr>
                    <w:pStyle w:val="TableBodyText"/>
                    <w:jc w:val="center"/>
                  </w:pPr>
                  <w:r w:rsidRPr="004F2E81">
                    <w:t>None</w:t>
                  </w:r>
                </w:p>
              </w:tc>
              <w:tc>
                <w:tcPr>
                  <w:tcW w:w="602" w:type="pct"/>
                  <w:shd w:val="clear" w:color="auto" w:fill="auto"/>
                </w:tcPr>
                <w:p w14:paraId="0B1D0231" w14:textId="77777777" w:rsidR="00021EE0" w:rsidRDefault="00021EE0" w:rsidP="00021EE0">
                  <w:pPr>
                    <w:pStyle w:val="TableBodyText"/>
                    <w:ind w:right="28"/>
                    <w:jc w:val="center"/>
                  </w:pPr>
                  <w:r w:rsidRPr="004F2E81">
                    <w:t>Based on ongoing need and eligibility</w:t>
                  </w:r>
                </w:p>
              </w:tc>
              <w:tc>
                <w:tcPr>
                  <w:tcW w:w="602" w:type="pct"/>
                </w:tcPr>
                <w:p w14:paraId="72E9CD4B" w14:textId="77777777" w:rsidR="00021EE0" w:rsidRDefault="00021EE0" w:rsidP="00021EE0">
                  <w:pPr>
                    <w:pStyle w:val="TableBodyText"/>
                    <w:ind w:right="28"/>
                    <w:jc w:val="center"/>
                  </w:pPr>
                  <w:r w:rsidRPr="004F2E81">
                    <w:t>Annually and at the end of fixed term agreements</w:t>
                  </w:r>
                </w:p>
              </w:tc>
              <w:tc>
                <w:tcPr>
                  <w:tcW w:w="603" w:type="pct"/>
                </w:tcPr>
                <w:p w14:paraId="0E7598A1" w14:textId="77777777" w:rsidR="00021EE0" w:rsidRDefault="00021EE0" w:rsidP="00021EE0">
                  <w:pPr>
                    <w:pStyle w:val="TableBodyText"/>
                    <w:ind w:right="28"/>
                    <w:jc w:val="center"/>
                  </w:pPr>
                  <w:r w:rsidRPr="004F2E81">
                    <w:t>Probationary and fixed term leases reviewed prior to end of lease</w:t>
                  </w:r>
                </w:p>
              </w:tc>
              <w:tc>
                <w:tcPr>
                  <w:tcW w:w="603" w:type="pct"/>
                </w:tcPr>
                <w:p w14:paraId="506D1EFF" w14:textId="77777777" w:rsidR="00021EE0" w:rsidRDefault="00021EE0" w:rsidP="00021EE0">
                  <w:pPr>
                    <w:pStyle w:val="TableBodyText"/>
                    <w:ind w:right="28"/>
                    <w:jc w:val="center"/>
                  </w:pPr>
                  <w:r w:rsidRPr="004F2E81">
                    <w:t>Annual</w:t>
                  </w:r>
                </w:p>
              </w:tc>
              <w:tc>
                <w:tcPr>
                  <w:tcW w:w="603" w:type="pct"/>
                </w:tcPr>
                <w:p w14:paraId="054AF38F" w14:textId="77777777" w:rsidR="00021EE0" w:rsidRDefault="00021EE0" w:rsidP="00021EE0">
                  <w:pPr>
                    <w:pStyle w:val="TableBodyText"/>
                    <w:ind w:right="28"/>
                    <w:jc w:val="center"/>
                  </w:pPr>
                  <w:r w:rsidRPr="004F2E81">
                    <w:t>Limited review arrangements apply</w:t>
                  </w:r>
                </w:p>
              </w:tc>
              <w:tc>
                <w:tcPr>
                  <w:tcW w:w="601" w:type="pct"/>
                </w:tcPr>
                <w:p w14:paraId="276E5D0A" w14:textId="77777777" w:rsidR="00021EE0" w:rsidRDefault="00021EE0" w:rsidP="00021EE0">
                  <w:pPr>
                    <w:pStyle w:val="TableBodyText"/>
                    <w:ind w:right="28"/>
                    <w:jc w:val="center"/>
                  </w:pPr>
                  <w:r w:rsidRPr="004F2E81">
                    <w:t>Eligibility confirmed: at least annually; on application for rental rebate; at end fixed term tenancy.</w:t>
                  </w:r>
                </w:p>
              </w:tc>
            </w:tr>
            <w:tr w:rsidR="00021EE0" w14:paraId="6C52F7B4" w14:textId="77777777" w:rsidTr="00E81D96">
              <w:tc>
                <w:tcPr>
                  <w:tcW w:w="1988" w:type="pct"/>
                  <w:gridSpan w:val="4"/>
                  <w:shd w:val="clear" w:color="auto" w:fill="auto"/>
                </w:tcPr>
                <w:p w14:paraId="5F212413" w14:textId="1ED22832" w:rsidR="00021EE0" w:rsidRPr="004F2E81" w:rsidRDefault="00021EE0" w:rsidP="00021EE0">
                  <w:pPr>
                    <w:pStyle w:val="TableBodyText"/>
                    <w:ind w:right="28"/>
                    <w:jc w:val="left"/>
                  </w:pPr>
                  <w:r w:rsidRPr="00D7406B">
                    <w:rPr>
                      <w:b/>
                    </w:rPr>
                    <w:t>Rebated rent setting</w:t>
                  </w:r>
                  <w:r>
                    <w:rPr>
                      <w:b/>
                    </w:rPr>
                    <w:t>: r</w:t>
                  </w:r>
                  <w:r>
                    <w:t>ent</w:t>
                  </w:r>
                  <w:r w:rsidR="00C47BFD">
                    <w:noBreakHyphen/>
                  </w:r>
                  <w:r>
                    <w:t>to</w:t>
                  </w:r>
                  <w:r w:rsidR="00C47BFD">
                    <w:noBreakHyphen/>
                  </w:r>
                  <w:r>
                    <w:t>income ratio (%)</w:t>
                  </w:r>
                </w:p>
              </w:tc>
              <w:tc>
                <w:tcPr>
                  <w:tcW w:w="602" w:type="pct"/>
                </w:tcPr>
                <w:p w14:paraId="1571CEE9" w14:textId="77777777" w:rsidR="00021EE0" w:rsidRPr="004F2E81" w:rsidRDefault="00021EE0" w:rsidP="00021EE0">
                  <w:pPr>
                    <w:pStyle w:val="TableBodyText"/>
                    <w:ind w:right="28"/>
                  </w:pPr>
                </w:p>
              </w:tc>
              <w:tc>
                <w:tcPr>
                  <w:tcW w:w="603" w:type="pct"/>
                </w:tcPr>
                <w:p w14:paraId="4A1B8A99" w14:textId="77777777" w:rsidR="00021EE0" w:rsidRPr="004F2E81" w:rsidRDefault="00021EE0" w:rsidP="00021EE0">
                  <w:pPr>
                    <w:pStyle w:val="TableBodyText"/>
                    <w:ind w:right="28"/>
                  </w:pPr>
                </w:p>
              </w:tc>
              <w:tc>
                <w:tcPr>
                  <w:tcW w:w="603" w:type="pct"/>
                </w:tcPr>
                <w:p w14:paraId="1DA0F423" w14:textId="77777777" w:rsidR="00021EE0" w:rsidRPr="004F2E81" w:rsidRDefault="00021EE0" w:rsidP="00021EE0">
                  <w:pPr>
                    <w:pStyle w:val="TableBodyText"/>
                    <w:ind w:right="28"/>
                  </w:pPr>
                </w:p>
              </w:tc>
              <w:tc>
                <w:tcPr>
                  <w:tcW w:w="603" w:type="pct"/>
                </w:tcPr>
                <w:p w14:paraId="42C2B36A" w14:textId="77777777" w:rsidR="00021EE0" w:rsidRPr="004F2E81" w:rsidRDefault="00021EE0" w:rsidP="00021EE0">
                  <w:pPr>
                    <w:pStyle w:val="TableBodyText"/>
                    <w:ind w:right="28"/>
                  </w:pPr>
                </w:p>
              </w:tc>
              <w:tc>
                <w:tcPr>
                  <w:tcW w:w="601" w:type="pct"/>
                </w:tcPr>
                <w:p w14:paraId="4269B509" w14:textId="77777777" w:rsidR="00021EE0" w:rsidRPr="004F2E81" w:rsidRDefault="00021EE0" w:rsidP="00021EE0">
                  <w:pPr>
                    <w:pStyle w:val="TableBodyText"/>
                    <w:ind w:right="28"/>
                  </w:pPr>
                </w:p>
              </w:tc>
            </w:tr>
            <w:tr w:rsidR="00021EE0" w14:paraId="7D83FA84" w14:textId="77777777" w:rsidTr="00E81D96">
              <w:tc>
                <w:tcPr>
                  <w:tcW w:w="345" w:type="pct"/>
                  <w:shd w:val="clear" w:color="auto" w:fill="auto"/>
                </w:tcPr>
                <w:p w14:paraId="45F5A1A3" w14:textId="77777777" w:rsidR="00021EE0" w:rsidRPr="00D7406B" w:rsidRDefault="00021EE0" w:rsidP="00021EE0">
                  <w:pPr>
                    <w:pStyle w:val="TableBodyText"/>
                    <w:jc w:val="center"/>
                  </w:pPr>
                </w:p>
              </w:tc>
              <w:tc>
                <w:tcPr>
                  <w:tcW w:w="439" w:type="pct"/>
                </w:tcPr>
                <w:p w14:paraId="7B46BDC2" w14:textId="77777777" w:rsidR="00021EE0" w:rsidRPr="004F2E81" w:rsidRDefault="00021EE0" w:rsidP="00021EE0">
                  <w:pPr>
                    <w:pStyle w:val="TableBodyText"/>
                    <w:jc w:val="center"/>
                  </w:pPr>
                  <w:r w:rsidRPr="00F3770E">
                    <w:t>25–30</w:t>
                  </w:r>
                </w:p>
              </w:tc>
              <w:tc>
                <w:tcPr>
                  <w:tcW w:w="602" w:type="pct"/>
                  <w:shd w:val="clear" w:color="auto" w:fill="auto"/>
                </w:tcPr>
                <w:p w14:paraId="63EAA99F" w14:textId="77777777" w:rsidR="00021EE0" w:rsidRPr="004F2E81" w:rsidRDefault="00021EE0" w:rsidP="00021EE0">
                  <w:pPr>
                    <w:pStyle w:val="TableBodyText"/>
                    <w:jc w:val="center"/>
                  </w:pPr>
                  <w:r w:rsidRPr="00F3770E">
                    <w:t>25</w:t>
                  </w:r>
                </w:p>
              </w:tc>
              <w:tc>
                <w:tcPr>
                  <w:tcW w:w="602" w:type="pct"/>
                  <w:shd w:val="clear" w:color="auto" w:fill="auto"/>
                </w:tcPr>
                <w:p w14:paraId="3C7A1333" w14:textId="77777777" w:rsidR="00021EE0" w:rsidRPr="004F2E81" w:rsidRDefault="00021EE0" w:rsidP="00021EE0">
                  <w:pPr>
                    <w:pStyle w:val="TableBodyText"/>
                    <w:ind w:right="28"/>
                    <w:jc w:val="center"/>
                  </w:pPr>
                  <w:r w:rsidRPr="00F3770E">
                    <w:t>25</w:t>
                  </w:r>
                </w:p>
              </w:tc>
              <w:tc>
                <w:tcPr>
                  <w:tcW w:w="602" w:type="pct"/>
                </w:tcPr>
                <w:p w14:paraId="323F6E95" w14:textId="77777777" w:rsidR="00021EE0" w:rsidRPr="004F2E81" w:rsidRDefault="00021EE0" w:rsidP="00021EE0">
                  <w:pPr>
                    <w:pStyle w:val="TableBodyText"/>
                    <w:ind w:right="28"/>
                    <w:jc w:val="center"/>
                  </w:pPr>
                  <w:r w:rsidRPr="00F3770E">
                    <w:t>25</w:t>
                  </w:r>
                </w:p>
              </w:tc>
              <w:tc>
                <w:tcPr>
                  <w:tcW w:w="603" w:type="pct"/>
                </w:tcPr>
                <w:p w14:paraId="468228EA" w14:textId="77777777" w:rsidR="00021EE0" w:rsidRPr="004F2E81" w:rsidRDefault="00021EE0" w:rsidP="00021EE0">
                  <w:pPr>
                    <w:pStyle w:val="TableBodyText"/>
                    <w:ind w:right="28"/>
                    <w:jc w:val="center"/>
                  </w:pPr>
                  <w:r w:rsidRPr="00F3770E">
                    <w:t>25</w:t>
                  </w:r>
                </w:p>
              </w:tc>
              <w:tc>
                <w:tcPr>
                  <w:tcW w:w="603" w:type="pct"/>
                </w:tcPr>
                <w:p w14:paraId="0A686A3C" w14:textId="77777777" w:rsidR="00021EE0" w:rsidRPr="004F2E81" w:rsidRDefault="00021EE0" w:rsidP="00021EE0">
                  <w:pPr>
                    <w:pStyle w:val="TableBodyText"/>
                    <w:ind w:right="28"/>
                    <w:jc w:val="center"/>
                  </w:pPr>
                  <w:r w:rsidRPr="00F3770E">
                    <w:t>25</w:t>
                  </w:r>
                </w:p>
              </w:tc>
              <w:tc>
                <w:tcPr>
                  <w:tcW w:w="603" w:type="pct"/>
                </w:tcPr>
                <w:p w14:paraId="62C02F60" w14:textId="77777777" w:rsidR="00021EE0" w:rsidRPr="004F2E81" w:rsidRDefault="00021EE0" w:rsidP="00021EE0">
                  <w:pPr>
                    <w:pStyle w:val="TableBodyText"/>
                    <w:ind w:right="28"/>
                    <w:jc w:val="center"/>
                  </w:pPr>
                  <w:r w:rsidRPr="00F3770E">
                    <w:t>25</w:t>
                  </w:r>
                </w:p>
              </w:tc>
              <w:tc>
                <w:tcPr>
                  <w:tcW w:w="601" w:type="pct"/>
                </w:tcPr>
                <w:p w14:paraId="01E65CD5" w14:textId="1416A6FE" w:rsidR="00021EE0" w:rsidRPr="004F2E81" w:rsidRDefault="00B53276" w:rsidP="00B53276">
                  <w:pPr>
                    <w:pStyle w:val="TableBodyText"/>
                    <w:ind w:right="28"/>
                    <w:jc w:val="center"/>
                  </w:pPr>
                  <w:r>
                    <w:t>23–25</w:t>
                  </w:r>
                </w:p>
              </w:tc>
            </w:tr>
            <w:tr w:rsidR="00E81D96" w14:paraId="2C559025" w14:textId="77777777" w:rsidTr="004A42F7">
              <w:tc>
                <w:tcPr>
                  <w:tcW w:w="345" w:type="pct"/>
                  <w:tcBorders>
                    <w:bottom w:val="single" w:sz="6" w:space="0" w:color="BFBFBF" w:themeColor="background1" w:themeShade="BF"/>
                  </w:tcBorders>
                  <w:shd w:val="clear" w:color="auto" w:fill="auto"/>
                </w:tcPr>
                <w:p w14:paraId="3DF4C9FA" w14:textId="77777777" w:rsidR="00E81D96" w:rsidRPr="00AF211D" w:rsidRDefault="00E81D96" w:rsidP="00414467">
                  <w:pPr>
                    <w:pStyle w:val="TableBodyText"/>
                    <w:jc w:val="left"/>
                  </w:pPr>
                </w:p>
              </w:tc>
              <w:tc>
                <w:tcPr>
                  <w:tcW w:w="439" w:type="pct"/>
                  <w:tcBorders>
                    <w:bottom w:val="single" w:sz="6" w:space="0" w:color="BFBFBF" w:themeColor="background1" w:themeShade="BF"/>
                  </w:tcBorders>
                </w:tcPr>
                <w:p w14:paraId="72F54E04" w14:textId="77777777" w:rsidR="00E81D96" w:rsidRPr="00E61F69" w:rsidRDefault="00E81D96" w:rsidP="00414467">
                  <w:pPr>
                    <w:pStyle w:val="TableBodyText"/>
                    <w:jc w:val="center"/>
                  </w:pPr>
                </w:p>
              </w:tc>
              <w:tc>
                <w:tcPr>
                  <w:tcW w:w="602" w:type="pct"/>
                  <w:tcBorders>
                    <w:bottom w:val="single" w:sz="6" w:space="0" w:color="BFBFBF" w:themeColor="background1" w:themeShade="BF"/>
                  </w:tcBorders>
                  <w:shd w:val="clear" w:color="auto" w:fill="auto"/>
                </w:tcPr>
                <w:p w14:paraId="47BEE1A5" w14:textId="77777777" w:rsidR="00E81D96" w:rsidRPr="00E61F69" w:rsidRDefault="00E81D96" w:rsidP="00414467">
                  <w:pPr>
                    <w:pStyle w:val="TableBodyText"/>
                    <w:jc w:val="center"/>
                  </w:pPr>
                </w:p>
              </w:tc>
              <w:tc>
                <w:tcPr>
                  <w:tcW w:w="602" w:type="pct"/>
                  <w:tcBorders>
                    <w:bottom w:val="single" w:sz="6" w:space="0" w:color="BFBFBF" w:themeColor="background1" w:themeShade="BF"/>
                  </w:tcBorders>
                  <w:shd w:val="clear" w:color="auto" w:fill="auto"/>
                </w:tcPr>
                <w:p w14:paraId="00E349E4" w14:textId="77777777" w:rsidR="00E81D96" w:rsidRPr="00E61F69" w:rsidRDefault="00E81D96" w:rsidP="00414467">
                  <w:pPr>
                    <w:pStyle w:val="TableBodyText"/>
                    <w:ind w:right="28"/>
                    <w:jc w:val="center"/>
                  </w:pPr>
                </w:p>
              </w:tc>
              <w:tc>
                <w:tcPr>
                  <w:tcW w:w="602" w:type="pct"/>
                  <w:tcBorders>
                    <w:bottom w:val="single" w:sz="6" w:space="0" w:color="BFBFBF" w:themeColor="background1" w:themeShade="BF"/>
                  </w:tcBorders>
                </w:tcPr>
                <w:p w14:paraId="2A96663A" w14:textId="77777777" w:rsidR="00E81D96" w:rsidRPr="00E61F69" w:rsidRDefault="00E81D96" w:rsidP="00414467">
                  <w:pPr>
                    <w:pStyle w:val="TableBodyText"/>
                    <w:ind w:right="28"/>
                    <w:jc w:val="center"/>
                  </w:pPr>
                </w:p>
              </w:tc>
              <w:tc>
                <w:tcPr>
                  <w:tcW w:w="603" w:type="pct"/>
                  <w:tcBorders>
                    <w:bottom w:val="single" w:sz="6" w:space="0" w:color="BFBFBF" w:themeColor="background1" w:themeShade="BF"/>
                  </w:tcBorders>
                </w:tcPr>
                <w:p w14:paraId="66DC93F7" w14:textId="77777777" w:rsidR="00E81D96" w:rsidRPr="00E61F69" w:rsidRDefault="00E81D96" w:rsidP="00414467">
                  <w:pPr>
                    <w:pStyle w:val="TableBodyText"/>
                    <w:ind w:right="28"/>
                    <w:jc w:val="center"/>
                  </w:pPr>
                </w:p>
              </w:tc>
              <w:tc>
                <w:tcPr>
                  <w:tcW w:w="1807" w:type="pct"/>
                  <w:gridSpan w:val="3"/>
                  <w:tcBorders>
                    <w:bottom w:val="single" w:sz="6" w:space="0" w:color="BFBFBF" w:themeColor="background1" w:themeShade="BF"/>
                  </w:tcBorders>
                </w:tcPr>
                <w:p w14:paraId="3725485B" w14:textId="77777777" w:rsidR="00E81D96" w:rsidRPr="00E61F69" w:rsidRDefault="00E81D96" w:rsidP="00414467">
                  <w:pPr>
                    <w:pStyle w:val="TableBodyText"/>
                    <w:spacing w:before="80"/>
                    <w:ind w:right="28"/>
                  </w:pPr>
                  <w:r w:rsidRPr="00C52B8F">
                    <w:rPr>
                      <w:szCs w:val="18"/>
                    </w:rPr>
                    <w:t>(continued next page)</w:t>
                  </w:r>
                </w:p>
              </w:tc>
            </w:tr>
          </w:tbl>
          <w:p w14:paraId="2C6172F3" w14:textId="77777777" w:rsidR="00A83249" w:rsidRDefault="00A83249" w:rsidP="00414467">
            <w:pPr>
              <w:pStyle w:val="Box"/>
            </w:pPr>
          </w:p>
        </w:tc>
      </w:tr>
      <w:tr w:rsidR="00A83249" w14:paraId="6ECDAC51" w14:textId="77777777" w:rsidTr="00414467">
        <w:tc>
          <w:tcPr>
            <w:tcW w:w="5000" w:type="pct"/>
            <w:tcBorders>
              <w:top w:val="nil"/>
              <w:left w:val="nil"/>
              <w:bottom w:val="single" w:sz="6" w:space="0" w:color="78A22F"/>
              <w:right w:val="nil"/>
            </w:tcBorders>
            <w:shd w:val="clear" w:color="auto" w:fill="auto"/>
          </w:tcPr>
          <w:p w14:paraId="712335A3" w14:textId="77777777" w:rsidR="00A83249" w:rsidRDefault="00A83249" w:rsidP="00414467">
            <w:pPr>
              <w:pStyle w:val="Box"/>
              <w:spacing w:before="0" w:line="120" w:lineRule="exact"/>
            </w:pPr>
          </w:p>
        </w:tc>
      </w:tr>
      <w:tr w:rsidR="00A83249" w:rsidRPr="000863A5" w14:paraId="583BC8E4" w14:textId="77777777" w:rsidTr="00414467">
        <w:tc>
          <w:tcPr>
            <w:tcW w:w="5000" w:type="pct"/>
            <w:tcBorders>
              <w:top w:val="single" w:sz="6" w:space="0" w:color="78A22F"/>
              <w:left w:val="nil"/>
              <w:bottom w:val="nil"/>
              <w:right w:val="nil"/>
            </w:tcBorders>
          </w:tcPr>
          <w:p w14:paraId="6358943D" w14:textId="55D671EB" w:rsidR="00A83249" w:rsidRPr="00626D32" w:rsidRDefault="00A83249" w:rsidP="00414467">
            <w:pPr>
              <w:pStyle w:val="BoxSpaceBelow"/>
            </w:pPr>
          </w:p>
        </w:tc>
      </w:tr>
    </w:tbl>
    <w:p w14:paraId="3613FF4B" w14:textId="245B499A" w:rsidR="003E28A0" w:rsidRDefault="003E28A0" w:rsidP="0041446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3E28A0" w14:paraId="3FEC491F" w14:textId="77777777" w:rsidTr="00A67704">
        <w:trPr>
          <w:tblHeader/>
        </w:trPr>
        <w:tc>
          <w:tcPr>
            <w:tcW w:w="5000" w:type="pct"/>
            <w:tcBorders>
              <w:top w:val="single" w:sz="6" w:space="0" w:color="78A22F"/>
              <w:left w:val="nil"/>
              <w:bottom w:val="nil"/>
              <w:right w:val="nil"/>
            </w:tcBorders>
            <w:shd w:val="clear" w:color="auto" w:fill="auto"/>
          </w:tcPr>
          <w:p w14:paraId="7D36F1EF" w14:textId="67CCDB5F" w:rsidR="003E28A0" w:rsidRPr="00784A05" w:rsidRDefault="003E28A0" w:rsidP="00A16D87">
            <w:pPr>
              <w:pStyle w:val="TableTitle"/>
            </w:pPr>
            <w:r>
              <w:rPr>
                <w:b w:val="0"/>
              </w:rPr>
              <w:t xml:space="preserve">Table </w:t>
            </w:r>
            <w:r w:rsidR="007B7519">
              <w:rPr>
                <w:b w:val="0"/>
              </w:rPr>
              <w:t>1</w:t>
            </w:r>
            <w:r w:rsidR="00A16D87">
              <w:rPr>
                <w:b w:val="0"/>
              </w:rPr>
              <w:t>8</w:t>
            </w:r>
            <w:r>
              <w:rPr>
                <w:b w:val="0"/>
              </w:rPr>
              <w:t>.1</w:t>
            </w:r>
            <w:r>
              <w:tab/>
            </w:r>
            <w:r w:rsidR="007B7519" w:rsidRPr="001413EB">
              <w:rPr>
                <w:b w:val="0"/>
                <w:sz w:val="18"/>
                <w:szCs w:val="18"/>
              </w:rPr>
              <w:t>(continued)</w:t>
            </w:r>
          </w:p>
        </w:tc>
      </w:tr>
      <w:tr w:rsidR="00766980" w14:paraId="432A097E" w14:textId="77777777" w:rsidTr="00A6770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19"/>
              <w:gridCol w:w="1170"/>
              <w:gridCol w:w="1604"/>
              <w:gridCol w:w="1604"/>
              <w:gridCol w:w="1604"/>
              <w:gridCol w:w="1607"/>
              <w:gridCol w:w="1607"/>
              <w:gridCol w:w="1607"/>
              <w:gridCol w:w="1602"/>
            </w:tblGrid>
            <w:tr w:rsidR="00766980" w:rsidRPr="00D1071E" w14:paraId="6A6C3B2E" w14:textId="77777777" w:rsidTr="009E6F57">
              <w:tc>
                <w:tcPr>
                  <w:tcW w:w="345" w:type="pct"/>
                  <w:tcBorders>
                    <w:top w:val="single" w:sz="6" w:space="0" w:color="BFBFBF" w:themeColor="background1" w:themeShade="BF"/>
                    <w:bottom w:val="single" w:sz="6" w:space="0" w:color="BFBFBF" w:themeColor="background1" w:themeShade="BF"/>
                  </w:tcBorders>
                  <w:shd w:val="clear" w:color="auto" w:fill="auto"/>
                </w:tcPr>
                <w:p w14:paraId="35E128F1" w14:textId="77777777" w:rsidR="00766980" w:rsidRPr="00D1071E" w:rsidRDefault="00766980" w:rsidP="00766980">
                  <w:pPr>
                    <w:pStyle w:val="TableBodyText"/>
                    <w:jc w:val="left"/>
                    <w:rPr>
                      <w:i/>
                    </w:rPr>
                  </w:pPr>
                </w:p>
              </w:tc>
              <w:tc>
                <w:tcPr>
                  <w:tcW w:w="439" w:type="pct"/>
                  <w:tcBorders>
                    <w:top w:val="single" w:sz="6" w:space="0" w:color="BFBFBF" w:themeColor="background1" w:themeShade="BF"/>
                    <w:bottom w:val="single" w:sz="6" w:space="0" w:color="BFBFBF" w:themeColor="background1" w:themeShade="BF"/>
                  </w:tcBorders>
                </w:tcPr>
                <w:p w14:paraId="19EC7294" w14:textId="712AEAE6" w:rsidR="00766980" w:rsidRPr="00D1071E" w:rsidRDefault="00766980" w:rsidP="00766980">
                  <w:pPr>
                    <w:pStyle w:val="TableBodyText"/>
                    <w:jc w:val="center"/>
                    <w:rPr>
                      <w:i/>
                    </w:rPr>
                  </w:pPr>
                  <w:r w:rsidRPr="00D1071E">
                    <w:rPr>
                      <w:i/>
                    </w:rPr>
                    <w:t>NSW</w:t>
                  </w:r>
                  <w:r w:rsidRPr="00364CBB">
                    <w:rPr>
                      <w:rStyle w:val="NoteLabel"/>
                    </w:rPr>
                    <w:t>c</w:t>
                  </w:r>
                </w:p>
              </w:tc>
              <w:tc>
                <w:tcPr>
                  <w:tcW w:w="602" w:type="pct"/>
                  <w:tcBorders>
                    <w:top w:val="single" w:sz="6" w:space="0" w:color="BFBFBF" w:themeColor="background1" w:themeShade="BF"/>
                    <w:bottom w:val="single" w:sz="6" w:space="0" w:color="BFBFBF" w:themeColor="background1" w:themeShade="BF"/>
                  </w:tcBorders>
                  <w:shd w:val="clear" w:color="auto" w:fill="auto"/>
                </w:tcPr>
                <w:p w14:paraId="1EF4671E" w14:textId="7792EB70" w:rsidR="00766980" w:rsidRPr="00D1071E" w:rsidRDefault="00766980" w:rsidP="00194100">
                  <w:pPr>
                    <w:pStyle w:val="TableBodyText"/>
                    <w:spacing w:before="80" w:after="80"/>
                    <w:jc w:val="center"/>
                    <w:rPr>
                      <w:i/>
                    </w:rPr>
                  </w:pPr>
                  <w:r w:rsidRPr="00D1071E">
                    <w:rPr>
                      <w:i/>
                    </w:rPr>
                    <w:t>Vic</w:t>
                  </w:r>
                  <w:r w:rsidRPr="00364CBB">
                    <w:rPr>
                      <w:rStyle w:val="NoteLabel"/>
                    </w:rPr>
                    <w:t>d</w:t>
                  </w:r>
                </w:p>
              </w:tc>
              <w:tc>
                <w:tcPr>
                  <w:tcW w:w="602" w:type="pct"/>
                  <w:tcBorders>
                    <w:top w:val="single" w:sz="6" w:space="0" w:color="BFBFBF" w:themeColor="background1" w:themeShade="BF"/>
                    <w:bottom w:val="single" w:sz="6" w:space="0" w:color="BFBFBF" w:themeColor="background1" w:themeShade="BF"/>
                  </w:tcBorders>
                  <w:shd w:val="clear" w:color="auto" w:fill="auto"/>
                </w:tcPr>
                <w:p w14:paraId="2124AB17" w14:textId="34A39D34" w:rsidR="00766980" w:rsidRPr="00D1071E" w:rsidRDefault="00766980" w:rsidP="00766980">
                  <w:pPr>
                    <w:pStyle w:val="TableBodyText"/>
                    <w:ind w:right="28"/>
                    <w:jc w:val="center"/>
                    <w:rPr>
                      <w:i/>
                    </w:rPr>
                  </w:pPr>
                  <w:r w:rsidRPr="00D1071E">
                    <w:rPr>
                      <w:i/>
                    </w:rPr>
                    <w:t>Q</w:t>
                  </w:r>
                  <w:r w:rsidR="00194100">
                    <w:rPr>
                      <w:i/>
                    </w:rPr>
                    <w:t>ld</w:t>
                  </w:r>
                  <w:r w:rsidRPr="00364CBB">
                    <w:rPr>
                      <w:rStyle w:val="NoteLabel"/>
                    </w:rPr>
                    <w:t>e</w:t>
                  </w:r>
                </w:p>
              </w:tc>
              <w:tc>
                <w:tcPr>
                  <w:tcW w:w="602" w:type="pct"/>
                  <w:tcBorders>
                    <w:top w:val="single" w:sz="6" w:space="0" w:color="BFBFBF" w:themeColor="background1" w:themeShade="BF"/>
                    <w:bottom w:val="single" w:sz="6" w:space="0" w:color="BFBFBF" w:themeColor="background1" w:themeShade="BF"/>
                  </w:tcBorders>
                </w:tcPr>
                <w:p w14:paraId="16C445E2" w14:textId="533E57DA" w:rsidR="00766980" w:rsidRPr="00D1071E" w:rsidRDefault="00194100" w:rsidP="00766980">
                  <w:pPr>
                    <w:pStyle w:val="TableBodyText"/>
                    <w:ind w:right="28"/>
                    <w:jc w:val="center"/>
                    <w:rPr>
                      <w:i/>
                    </w:rPr>
                  </w:pPr>
                  <w:r>
                    <w:rPr>
                      <w:i/>
                    </w:rPr>
                    <w:t>WA</w:t>
                  </w:r>
                  <w:r w:rsidR="00766980" w:rsidRPr="00364CBB">
                    <w:rPr>
                      <w:rStyle w:val="NoteLabel"/>
                    </w:rPr>
                    <w:t>f</w:t>
                  </w:r>
                </w:p>
              </w:tc>
              <w:tc>
                <w:tcPr>
                  <w:tcW w:w="603" w:type="pct"/>
                  <w:tcBorders>
                    <w:top w:val="single" w:sz="6" w:space="0" w:color="BFBFBF" w:themeColor="background1" w:themeShade="BF"/>
                    <w:bottom w:val="single" w:sz="6" w:space="0" w:color="BFBFBF" w:themeColor="background1" w:themeShade="BF"/>
                  </w:tcBorders>
                </w:tcPr>
                <w:p w14:paraId="02B9AF3F" w14:textId="19BD3445" w:rsidR="00766980" w:rsidRPr="00D1071E" w:rsidRDefault="00766980" w:rsidP="00194100">
                  <w:pPr>
                    <w:pStyle w:val="TableBodyText"/>
                    <w:ind w:right="28"/>
                    <w:jc w:val="center"/>
                    <w:rPr>
                      <w:i/>
                    </w:rPr>
                  </w:pPr>
                  <w:r w:rsidRPr="00D1071E">
                    <w:rPr>
                      <w:i/>
                    </w:rPr>
                    <w:t>SA</w:t>
                  </w:r>
                  <w:r w:rsidRPr="00364CBB">
                    <w:rPr>
                      <w:rStyle w:val="NoteLabel"/>
                    </w:rPr>
                    <w:t>g</w:t>
                  </w:r>
                </w:p>
              </w:tc>
              <w:tc>
                <w:tcPr>
                  <w:tcW w:w="603" w:type="pct"/>
                  <w:tcBorders>
                    <w:top w:val="single" w:sz="6" w:space="0" w:color="BFBFBF" w:themeColor="background1" w:themeShade="BF"/>
                    <w:bottom w:val="single" w:sz="6" w:space="0" w:color="BFBFBF" w:themeColor="background1" w:themeShade="BF"/>
                  </w:tcBorders>
                </w:tcPr>
                <w:p w14:paraId="2884A395" w14:textId="32BA4345" w:rsidR="00766980" w:rsidRPr="00D1071E" w:rsidRDefault="00766980" w:rsidP="00194100">
                  <w:pPr>
                    <w:pStyle w:val="TableBodyText"/>
                    <w:ind w:right="28"/>
                    <w:jc w:val="center"/>
                    <w:rPr>
                      <w:i/>
                    </w:rPr>
                  </w:pPr>
                  <w:r w:rsidRPr="00D1071E">
                    <w:rPr>
                      <w:i/>
                    </w:rPr>
                    <w:t>Tas</w:t>
                  </w:r>
                  <w:r w:rsidRPr="00364CBB">
                    <w:rPr>
                      <w:rStyle w:val="NoteLabel"/>
                    </w:rPr>
                    <w:t>h</w:t>
                  </w:r>
                </w:p>
              </w:tc>
              <w:tc>
                <w:tcPr>
                  <w:tcW w:w="603" w:type="pct"/>
                  <w:tcBorders>
                    <w:top w:val="single" w:sz="6" w:space="0" w:color="BFBFBF" w:themeColor="background1" w:themeShade="BF"/>
                    <w:bottom w:val="single" w:sz="6" w:space="0" w:color="BFBFBF" w:themeColor="background1" w:themeShade="BF"/>
                  </w:tcBorders>
                </w:tcPr>
                <w:p w14:paraId="03845E9B" w14:textId="447A238C" w:rsidR="00766980" w:rsidRPr="00D1071E" w:rsidRDefault="00766980" w:rsidP="00194100">
                  <w:pPr>
                    <w:pStyle w:val="TableBodyText"/>
                    <w:ind w:right="28"/>
                    <w:jc w:val="center"/>
                    <w:rPr>
                      <w:i/>
                    </w:rPr>
                  </w:pPr>
                  <w:r w:rsidRPr="00D1071E">
                    <w:rPr>
                      <w:i/>
                    </w:rPr>
                    <w:t>ACT</w:t>
                  </w:r>
                  <w:r w:rsidRPr="00364CBB">
                    <w:rPr>
                      <w:rStyle w:val="NoteLabel"/>
                    </w:rPr>
                    <w:t>i</w:t>
                  </w:r>
                </w:p>
              </w:tc>
              <w:tc>
                <w:tcPr>
                  <w:tcW w:w="601" w:type="pct"/>
                  <w:tcBorders>
                    <w:top w:val="single" w:sz="6" w:space="0" w:color="BFBFBF" w:themeColor="background1" w:themeShade="BF"/>
                    <w:bottom w:val="single" w:sz="6" w:space="0" w:color="BFBFBF" w:themeColor="background1" w:themeShade="BF"/>
                  </w:tcBorders>
                </w:tcPr>
                <w:p w14:paraId="082E11C4" w14:textId="2F040E0A" w:rsidR="00766980" w:rsidRPr="00D1071E" w:rsidRDefault="00766980" w:rsidP="00194100">
                  <w:pPr>
                    <w:pStyle w:val="TableBodyText"/>
                    <w:ind w:right="28"/>
                    <w:jc w:val="center"/>
                    <w:rPr>
                      <w:i/>
                    </w:rPr>
                  </w:pPr>
                  <w:r w:rsidRPr="00D1071E">
                    <w:rPr>
                      <w:i/>
                    </w:rPr>
                    <w:t>NT</w:t>
                  </w:r>
                  <w:r w:rsidRPr="00364CBB">
                    <w:rPr>
                      <w:rStyle w:val="NoteLabel"/>
                    </w:rPr>
                    <w:t>j</w:t>
                  </w:r>
                </w:p>
              </w:tc>
            </w:tr>
          </w:tbl>
          <w:p w14:paraId="3E4A4AF2" w14:textId="77777777" w:rsidR="00766980" w:rsidRPr="008E77FE" w:rsidRDefault="00766980" w:rsidP="00DD03CC">
            <w:pPr>
              <w:pStyle w:val="Note"/>
              <w:rPr>
                <w:rStyle w:val="NoteLabel"/>
              </w:rPr>
            </w:pPr>
          </w:p>
        </w:tc>
      </w:tr>
      <w:tr w:rsidR="00E81D96" w14:paraId="3FDDD8D2" w14:textId="77777777" w:rsidTr="00A67704">
        <w:tc>
          <w:tcPr>
            <w:tcW w:w="5000" w:type="pct"/>
            <w:tcBorders>
              <w:top w:val="nil"/>
              <w:left w:val="nil"/>
              <w:bottom w:val="nil"/>
              <w:right w:val="nil"/>
            </w:tcBorders>
            <w:shd w:val="clear" w:color="auto" w:fill="auto"/>
          </w:tcPr>
          <w:p w14:paraId="723394BC" w14:textId="6CDEE46B" w:rsidR="00E81D96" w:rsidRDefault="00E81D96" w:rsidP="009429BA">
            <w:pPr>
              <w:pStyle w:val="Note"/>
              <w:rPr>
                <w:i/>
              </w:rPr>
            </w:pPr>
            <w:r w:rsidRPr="008E77FE">
              <w:rPr>
                <w:rStyle w:val="NoteLabel"/>
              </w:rPr>
              <w:t>a</w:t>
            </w:r>
            <w:r>
              <w:t xml:space="preserve"> At</w:t>
            </w:r>
            <w:r w:rsidR="00053FD6">
              <w:t> </w:t>
            </w:r>
            <w:r>
              <w:t>30</w:t>
            </w:r>
            <w:r w:rsidR="00053FD6">
              <w:t> </w:t>
            </w:r>
            <w:r>
              <w:t xml:space="preserve">June. </w:t>
            </w:r>
            <w:r>
              <w:rPr>
                <w:rStyle w:val="NoteLabel"/>
              </w:rPr>
              <w:t>b</w:t>
            </w:r>
            <w:r>
              <w:t xml:space="preserve"> </w:t>
            </w:r>
            <w:r w:rsidR="00B24A7E" w:rsidRPr="00B24A7E">
              <w:rPr>
                <w:b/>
              </w:rPr>
              <w:t>na</w:t>
            </w:r>
            <w:r w:rsidR="00B24A7E">
              <w:t xml:space="preserve"> </w:t>
            </w:r>
            <w:r>
              <w:t xml:space="preserve">Not available. </w:t>
            </w:r>
            <w:r>
              <w:rPr>
                <w:rStyle w:val="NoteLabel"/>
              </w:rPr>
              <w:t>c</w:t>
            </w:r>
            <w:r>
              <w:t xml:space="preserve"> </w:t>
            </w:r>
            <w:r w:rsidR="004E4AB8">
              <w:t xml:space="preserve">NSW: </w:t>
            </w:r>
            <w:r w:rsidRPr="00D726B6">
              <w:t>Income limit: Limit is gross amount f</w:t>
            </w:r>
            <w:r w:rsidR="00C47BFD">
              <w:t>or a single adult. The first $5</w:t>
            </w:r>
            <w:r w:rsidRPr="00D726B6">
              <w:t>000 of savings and financial assets is exempt from assessmen</w:t>
            </w:r>
            <w:r w:rsidR="00C47BFD">
              <w:t>t. Interest on amounts above $5</w:t>
            </w:r>
            <w:r w:rsidRPr="00D726B6">
              <w:t>000 is assessed and this rate is aligned to the Centrelink deeming rate. An asset of a property that provides a viable alternative to social housing and income derived from property ownership is assessed. Minimum age: 18</w:t>
            </w:r>
            <w:r w:rsidR="00053FD6">
              <w:t> </w:t>
            </w:r>
            <w:r w:rsidRPr="00D726B6">
              <w:t>years of age. Applicants under 18</w:t>
            </w:r>
            <w:r w:rsidR="00053FD6">
              <w:t> </w:t>
            </w:r>
            <w:r w:rsidRPr="00D726B6">
              <w:t>years of age may be assessed for assistance when they meet general eligibility criteria, have an income, social housing is the best way to meet their housing needs and the provider is satisfied they are able to meet tenancy obligations.</w:t>
            </w:r>
            <w:r>
              <w:t xml:space="preserve"> </w:t>
            </w:r>
            <w:r w:rsidRPr="00D726B6">
              <w:t>Waiting list: Generally, clients are housed in the following order: emergency temporary accommodation, priority housing, transfer on a priority basis or relocation for management purposes, elderly clients 80</w:t>
            </w:r>
            <w:r w:rsidR="00053FD6">
              <w:t> </w:t>
            </w:r>
            <w:r w:rsidRPr="00D726B6">
              <w:t>years and over or 55</w:t>
            </w:r>
            <w:r w:rsidR="00053FD6">
              <w:t> </w:t>
            </w:r>
            <w:r w:rsidRPr="00D726B6">
              <w:t>years and over for clients of Aboriginal and Torres Strait Islander descent, wait turn housing and wait turn transfer.</w:t>
            </w:r>
            <w:r>
              <w:t xml:space="preserve"> </w:t>
            </w:r>
            <w:r w:rsidRPr="00D726B6">
              <w:t>Tenure: three</w:t>
            </w:r>
            <w:r w:rsidR="00053FD6">
              <w:t> </w:t>
            </w:r>
            <w:r w:rsidRPr="00D726B6">
              <w:t>month leases are for clients offered emergency temporary accommodation. Six</w:t>
            </w:r>
            <w:r w:rsidR="00361EEF">
              <w:noBreakHyphen/>
            </w:r>
            <w:r w:rsidRPr="00D726B6">
              <w:t>month leases are for clients who are considered unsatisfactory or less than satisfactory former tenants. Six</w:t>
            </w:r>
            <w:r w:rsidR="00E371A7">
              <w:noBreakHyphen/>
            </w:r>
            <w:r w:rsidRPr="00D726B6">
              <w:t>month provisional leases are for clients who are applying for Recognition as a Tenant. Continuous leases apply to tenants housed before 1</w:t>
            </w:r>
            <w:r w:rsidR="00053FD6">
              <w:t> </w:t>
            </w:r>
            <w:r w:rsidRPr="00D726B6">
              <w:t>July</w:t>
            </w:r>
            <w:r w:rsidR="00053FD6">
              <w:t> </w:t>
            </w:r>
            <w:r w:rsidRPr="00D726B6">
              <w:t>2005 who have lived continuously in a property owned or managed by Housing NSW since being housed. Housing NSW no longer offers continuous leases.</w:t>
            </w:r>
            <w:r>
              <w:t xml:space="preserve"> </w:t>
            </w:r>
            <w:r w:rsidRPr="00D726B6">
              <w:t>Tenancy review criteria: Ownership or part</w:t>
            </w:r>
            <w:r w:rsidR="00C47BFD">
              <w:noBreakHyphen/>
            </w:r>
            <w:r w:rsidRPr="00D726B6">
              <w:t xml:space="preserve">ownership of property that could provide a viable housing alternative; Household income level; Disability, medical </w:t>
            </w:r>
            <w:proofErr w:type="gramStart"/>
            <w:r w:rsidRPr="00D726B6">
              <w:t>condition</w:t>
            </w:r>
            <w:proofErr w:type="gramEnd"/>
            <w:r w:rsidRPr="00D726B6">
              <w:t xml:space="preserve"> or permanent injury; Three</w:t>
            </w:r>
            <w:r w:rsidR="00115F9F">
              <w:noBreakHyphen/>
            </w:r>
            <w:r w:rsidRPr="00D726B6">
              <w:t>month: the need for continuing emergency temporary accommodation; Six</w:t>
            </w:r>
            <w:r w:rsidR="00053FD6">
              <w:t> </w:t>
            </w:r>
            <w:r w:rsidRPr="00D726B6">
              <w:t>month: repayment or demonstrated commitment to repayment of outstanding debt; demonstrated ability to sustain a successful</w:t>
            </w:r>
            <w:r>
              <w:t xml:space="preserve">. </w:t>
            </w:r>
            <w:r w:rsidRPr="00D726B6">
              <w:t>Rent to Income Ratio: Subsidised rent is calculated according to the tenant</w:t>
            </w:r>
            <w:r w:rsidR="00C47BFD">
              <w:t>’</w:t>
            </w:r>
            <w:r w:rsidRPr="00D726B6">
              <w:t xml:space="preserve">s household size, </w:t>
            </w:r>
            <w:proofErr w:type="gramStart"/>
            <w:r w:rsidRPr="00D726B6">
              <w:t>type</w:t>
            </w:r>
            <w:proofErr w:type="gramEnd"/>
            <w:r w:rsidRPr="00D726B6">
              <w:t xml:space="preserve"> and gross assessable income. From 6</w:t>
            </w:r>
            <w:r w:rsidR="00053FD6">
              <w:t> </w:t>
            </w:r>
            <w:r w:rsidRPr="00D726B6">
              <w:t>July</w:t>
            </w:r>
            <w:r w:rsidR="00053FD6">
              <w:t> </w:t>
            </w:r>
            <w:r w:rsidRPr="00D726B6">
              <w:t>2009</w:t>
            </w:r>
            <w:r w:rsidR="00E64334">
              <w:t>,</w:t>
            </w:r>
            <w:r w:rsidRPr="00D726B6">
              <w:t xml:space="preserve"> Aboriginal Housing Office (AHO) rent calculations include the full amount of Commonwealth Rent Assistance (CRA) for eligible AHO households.</w:t>
            </w:r>
            <w:r>
              <w:t xml:space="preserve"> </w:t>
            </w:r>
            <w:r>
              <w:rPr>
                <w:rStyle w:val="NoteLabel"/>
              </w:rPr>
              <w:t>d</w:t>
            </w:r>
            <w:r>
              <w:t xml:space="preserve"> </w:t>
            </w:r>
            <w:r w:rsidR="004E4AB8">
              <w:t xml:space="preserve">Victoria: </w:t>
            </w:r>
            <w:r w:rsidR="003950E8" w:rsidRPr="00F231F4">
              <w:t>Income/O</w:t>
            </w:r>
            <w:r w:rsidR="008275AF" w:rsidRPr="00F231F4">
              <w:t>ther asset limits effective from 1</w:t>
            </w:r>
            <w:r w:rsidR="00053FD6">
              <w:t> </w:t>
            </w:r>
            <w:r w:rsidR="008275AF" w:rsidRPr="00F231F4">
              <w:t>April</w:t>
            </w:r>
            <w:r w:rsidR="00053FD6">
              <w:t> </w:t>
            </w:r>
            <w:r w:rsidR="008275AF" w:rsidRPr="00F231F4">
              <w:t xml:space="preserve">2020. </w:t>
            </w:r>
            <w:r w:rsidRPr="00F231F4">
              <w:t>Rent to income ratios: 25</w:t>
            </w:r>
            <w:r w:rsidR="00053FD6">
              <w:t> </w:t>
            </w:r>
            <w:r w:rsidRPr="00F231F4">
              <w:t>per</w:t>
            </w:r>
            <w:r w:rsidR="00053FD6">
              <w:t> </w:t>
            </w:r>
            <w:r w:rsidRPr="00F231F4">
              <w:t>cent of assessable primary income, 15</w:t>
            </w:r>
            <w:r w:rsidR="00053FD6">
              <w:t> </w:t>
            </w:r>
            <w:r w:rsidRPr="00F231F4">
              <w:t>per</w:t>
            </w:r>
            <w:r w:rsidR="00053FD6">
              <w:t> </w:t>
            </w:r>
            <w:r w:rsidRPr="00F231F4">
              <w:t xml:space="preserve">cent of Centrelink family payments (A) and (B) and Maintenance Payments. Waiting list: Priority Categories </w:t>
            </w:r>
            <w:r w:rsidR="003F12F9">
              <w:rPr>
                <w:rFonts w:cs="Arial"/>
              </w:rPr>
              <w:t>—</w:t>
            </w:r>
            <w:r w:rsidRPr="00F231F4">
              <w:t xml:space="preserve"> Victorian Housing Register: Emergency Management Housing; Priority Transfers; Homeless with support; Supported Housing; Special Housing Needs</w:t>
            </w:r>
            <w:r w:rsidR="00053FD6">
              <w:t>; Special Housing Needs aged 55 </w:t>
            </w:r>
            <w:r w:rsidRPr="00F231F4">
              <w:t xml:space="preserve">years and over; Register of Interest. </w:t>
            </w:r>
            <w:r w:rsidRPr="00F231F4">
              <w:rPr>
                <w:rStyle w:val="NoteLabel"/>
              </w:rPr>
              <w:t>e</w:t>
            </w:r>
            <w:r w:rsidRPr="00F231F4">
              <w:t xml:space="preserve"> </w:t>
            </w:r>
            <w:r w:rsidR="004E4AB8" w:rsidRPr="00F231F4">
              <w:t xml:space="preserve">Queensland: </w:t>
            </w:r>
            <w:r w:rsidRPr="00F231F4">
              <w:t>Six</w:t>
            </w:r>
            <w:r w:rsidR="00BB3712">
              <w:softHyphen/>
            </w:r>
            <w:r w:rsidR="00BB3712">
              <w:softHyphen/>
            </w:r>
            <w:r w:rsidR="00BB3712">
              <w:noBreakHyphen/>
            </w:r>
            <w:r w:rsidRPr="00F231F4">
              <w:t>month periodic tenancies are applied to applicants housed under the housing ineligible applicant policy and applicants housed under the Resource Communities eligibility policy.</w:t>
            </w:r>
            <w:r w:rsidR="00994AA7" w:rsidRPr="00F231F4">
              <w:t xml:space="preserve"> Tenancy review policies include high income of the tenant and their spouse, property ownership (including part</w:t>
            </w:r>
            <w:r w:rsidR="003F12F9">
              <w:noBreakHyphen/>
            </w:r>
            <w:r w:rsidR="00994AA7" w:rsidRPr="00F231F4">
              <w:t>ownership) of any type of property by any household member, demonstrating a continued need for the reviewable property a household resides in i.e. properties with 5</w:t>
            </w:r>
            <w:r w:rsidR="00053FD6">
              <w:t> </w:t>
            </w:r>
            <w:r w:rsidR="00994AA7" w:rsidRPr="00F231F4">
              <w:t>or more bedrooms or which is fully wheelchair accessible and not under</w:t>
            </w:r>
            <w:r w:rsidR="003F12F9">
              <w:noBreakHyphen/>
            </w:r>
            <w:r w:rsidR="00994AA7" w:rsidRPr="00F231F4">
              <w:t>occupying the property by 2</w:t>
            </w:r>
            <w:r w:rsidR="00053FD6">
              <w:t> </w:t>
            </w:r>
            <w:r w:rsidR="00994AA7" w:rsidRPr="00F231F4">
              <w:t xml:space="preserve">bedrooms or more. </w:t>
            </w:r>
            <w:r w:rsidRPr="00F231F4">
              <w:rPr>
                <w:rStyle w:val="NoteLabel"/>
              </w:rPr>
              <w:t>f</w:t>
            </w:r>
            <w:r w:rsidRPr="00F231F4">
              <w:t xml:space="preserve"> </w:t>
            </w:r>
            <w:r w:rsidR="004E4AB8" w:rsidRPr="00F231F4">
              <w:t xml:space="preserve">WA: </w:t>
            </w:r>
            <w:r w:rsidRPr="00F231F4">
              <w:t>Income limit for singles in the north west and remote areas 6</w:t>
            </w:r>
            <w:r w:rsidR="0012794D" w:rsidRPr="00F231F4">
              <w:t>4</w:t>
            </w:r>
            <w:r w:rsidRPr="00F231F4">
              <w:t>0</w:t>
            </w:r>
            <w:r w:rsidR="00105D19">
              <w:t> </w:t>
            </w:r>
            <w:r w:rsidRPr="00F231F4">
              <w:t>per</w:t>
            </w:r>
            <w:r w:rsidR="00105D19">
              <w:t> </w:t>
            </w:r>
            <w:r w:rsidRPr="00F231F4">
              <w:t>week. Income limits for singles with a disability 540</w:t>
            </w:r>
            <w:r w:rsidR="000B5AFE">
              <w:t> </w:t>
            </w:r>
            <w:r w:rsidRPr="00F231F4">
              <w:t>(760</w:t>
            </w:r>
            <w:r w:rsidR="00105D19">
              <w:t> </w:t>
            </w:r>
            <w:r w:rsidRPr="00F231F4">
              <w:t>in the north west and remote areas).</w:t>
            </w:r>
            <w:r w:rsidRPr="00F231F4">
              <w:rPr>
                <w:rStyle w:val="NoteLabel"/>
              </w:rPr>
              <w:t xml:space="preserve"> g</w:t>
            </w:r>
            <w:r w:rsidRPr="00F231F4">
              <w:t xml:space="preserve"> </w:t>
            </w:r>
            <w:r w:rsidR="004E4AB8" w:rsidRPr="00F231F4">
              <w:t xml:space="preserve">SA: </w:t>
            </w:r>
            <w:r w:rsidRPr="00F231F4">
              <w:t>Income limits are updated regularly consistent with changes to SA Average Weekly Earnings data published by the ABS. Asset limits are updated regularly consistent with changes to Centrelink asset limits (non</w:t>
            </w:r>
            <w:r w:rsidR="00C47BFD" w:rsidRPr="00F231F4">
              <w:noBreakHyphen/>
            </w:r>
            <w:r w:rsidRPr="00F231F4">
              <w:t>home</w:t>
            </w:r>
            <w:r w:rsidR="009429BA">
              <w:noBreakHyphen/>
            </w:r>
            <w:r w:rsidRPr="00F231F4">
              <w:t xml:space="preserve">owners), published by the </w:t>
            </w:r>
            <w:r w:rsidR="007F3A38" w:rsidRPr="00F231F4">
              <w:t>Department of Social Services (</w:t>
            </w:r>
            <w:r w:rsidRPr="00F231F4">
              <w:t>DSS</w:t>
            </w:r>
            <w:r w:rsidR="007F3A38" w:rsidRPr="00F231F4">
              <w:t>)</w:t>
            </w:r>
            <w:r w:rsidRPr="00F231F4">
              <w:t>. Fixed term leases were implemented for all new tenants housed from 1</w:t>
            </w:r>
            <w:r w:rsidR="003F12F9">
              <w:t> </w:t>
            </w:r>
            <w:r w:rsidRPr="00F231F4">
              <w:t>October</w:t>
            </w:r>
            <w:r w:rsidR="000B5AFE">
              <w:t> </w:t>
            </w:r>
            <w:r w:rsidRPr="00F231F4">
              <w:t xml:space="preserve">2010. The length of lease is determined on the basis of compliance with the conditions of tenancy and household circumstances. </w:t>
            </w:r>
            <w:r w:rsidRPr="00F231F4">
              <w:rPr>
                <w:rStyle w:val="NoteLabel"/>
              </w:rPr>
              <w:t>h</w:t>
            </w:r>
            <w:r w:rsidRPr="00F231F4">
              <w:t xml:space="preserve"> </w:t>
            </w:r>
            <w:r w:rsidR="004E4AB8" w:rsidRPr="00F231F4">
              <w:t xml:space="preserve">Tasmania: </w:t>
            </w:r>
            <w:r w:rsidRPr="00F231F4">
              <w:t xml:space="preserve">Income limits are updated regularly consistent with changes to Low Income Health Care Card eligibility. </w:t>
            </w:r>
            <w:r w:rsidRPr="00F231F4">
              <w:rPr>
                <w:rStyle w:val="NoteLabel"/>
              </w:rPr>
              <w:t>i</w:t>
            </w:r>
            <w:r w:rsidRPr="00F231F4">
              <w:t xml:space="preserve"> </w:t>
            </w:r>
            <w:r w:rsidR="004E4AB8" w:rsidRPr="00F231F4">
              <w:t xml:space="preserve">ACT: </w:t>
            </w:r>
            <w:r w:rsidRPr="00F231F4">
              <w:t>Tenancy Review: The Public Rental Housing Assistance Program provides for a review where a tenant</w:t>
            </w:r>
            <w:r w:rsidR="00C47BFD" w:rsidRPr="00F231F4">
              <w:t>’</w:t>
            </w:r>
            <w:r w:rsidRPr="00F231F4">
              <w:t>s income exceeds $</w:t>
            </w:r>
            <w:r w:rsidR="009618E1" w:rsidRPr="00F231F4">
              <w:t>103</w:t>
            </w:r>
            <w:r w:rsidR="00105D19">
              <w:t> </w:t>
            </w:r>
            <w:r w:rsidR="009618E1" w:rsidRPr="00F231F4">
              <w:t>582</w:t>
            </w:r>
            <w:r w:rsidRPr="00F231F4">
              <w:t xml:space="preserve"> for two consecutive years and their income is sustainable in the longer term. The Fixed Term Tenancies Policy was implemented in August</w:t>
            </w:r>
            <w:r w:rsidR="00105D19">
              <w:t> </w:t>
            </w:r>
            <w:r w:rsidRPr="00F231F4">
              <w:t>2012 to assist Housing ACT to require tenants with poor tenancy history to access support and to oblige them to follow additional tenancy terms for a 12</w:t>
            </w:r>
            <w:r w:rsidR="00105D19">
              <w:t> </w:t>
            </w:r>
            <w:r w:rsidRPr="00F231F4">
              <w:t>month period in order to re</w:t>
            </w:r>
            <w:r w:rsidR="00C47BFD" w:rsidRPr="00F231F4">
              <w:noBreakHyphen/>
            </w:r>
            <w:r w:rsidRPr="00F231F4">
              <w:t xml:space="preserve">enter the public housing system with the possibility that tenancy maybe terminated if terms were not followed. </w:t>
            </w:r>
            <w:r w:rsidRPr="00F231F4">
              <w:rPr>
                <w:rStyle w:val="NoteLabel"/>
              </w:rPr>
              <w:t>j</w:t>
            </w:r>
            <w:r w:rsidRPr="00F231F4">
              <w:t xml:space="preserve"> </w:t>
            </w:r>
            <w:r w:rsidR="000B5AFE">
              <w:t>NT: </w:t>
            </w:r>
            <w:r w:rsidR="00DD03CC" w:rsidRPr="00F231F4">
              <w:t>The household asset limit applies to new applicants or existing tenants under 55</w:t>
            </w:r>
            <w:r w:rsidR="00105D19">
              <w:t> </w:t>
            </w:r>
            <w:r w:rsidR="00DD03CC" w:rsidRPr="00F231F4">
              <w:t xml:space="preserve">years. </w:t>
            </w:r>
            <w:r w:rsidR="00B53276" w:rsidRPr="00F231F4">
              <w:t>For existing tenants over 55</w:t>
            </w:r>
            <w:r w:rsidR="00105D19">
              <w:t> </w:t>
            </w:r>
            <w:r w:rsidR="00B53276" w:rsidRPr="00F231F4">
              <w:t xml:space="preserve">years, the limit is </w:t>
            </w:r>
            <w:r w:rsidR="00F53DC0" w:rsidRPr="00F231F4">
              <w:t>$252</w:t>
            </w:r>
            <w:r w:rsidR="00105D19">
              <w:t> </w:t>
            </w:r>
            <w:r w:rsidR="00F53DC0" w:rsidRPr="00F231F4">
              <w:t>242</w:t>
            </w:r>
            <w:r w:rsidR="00B53276" w:rsidRPr="00F231F4">
              <w:t xml:space="preserve"> (</w:t>
            </w:r>
            <w:r w:rsidR="00B53276" w:rsidRPr="00B53276">
              <w:t>single, no depend</w:t>
            </w:r>
            <w:r w:rsidR="00B53276">
              <w:t>a</w:t>
            </w:r>
            <w:r w:rsidR="00384F0E">
              <w:t>nts).</w:t>
            </w:r>
            <w:r w:rsidR="00F53DC0">
              <w:t xml:space="preserve"> </w:t>
            </w:r>
          </w:p>
        </w:tc>
      </w:tr>
      <w:tr w:rsidR="00E81D96" w14:paraId="263D0BCC" w14:textId="77777777" w:rsidTr="00A67704">
        <w:tc>
          <w:tcPr>
            <w:tcW w:w="5000" w:type="pct"/>
            <w:tcBorders>
              <w:top w:val="nil"/>
              <w:left w:val="nil"/>
              <w:bottom w:val="nil"/>
              <w:right w:val="nil"/>
            </w:tcBorders>
            <w:shd w:val="clear" w:color="auto" w:fill="auto"/>
          </w:tcPr>
          <w:p w14:paraId="3CD3D91D" w14:textId="5A9A1C92" w:rsidR="00E81D96" w:rsidRDefault="00E81D96" w:rsidP="00E81D96">
            <w:pPr>
              <w:pStyle w:val="Source"/>
            </w:pPr>
            <w:r>
              <w:rPr>
                <w:i/>
              </w:rPr>
              <w:t>Source</w:t>
            </w:r>
            <w:r w:rsidRPr="00167F06">
              <w:t xml:space="preserve">: </w:t>
            </w:r>
            <w:r w:rsidRPr="00F84C92">
              <w:t>State and Territory governments (unpublished).</w:t>
            </w:r>
            <w:r w:rsidR="00371971">
              <w:rPr>
                <w:rStyle w:val="CommentReference"/>
                <w:rFonts w:ascii="Times New Roman" w:hAnsi="Times New Roman"/>
                <w:szCs w:val="24"/>
              </w:rPr>
              <w:t xml:space="preserve"> </w:t>
            </w:r>
          </w:p>
        </w:tc>
      </w:tr>
      <w:tr w:rsidR="003E28A0" w14:paraId="350B9ECD" w14:textId="77777777" w:rsidTr="00A67704">
        <w:tc>
          <w:tcPr>
            <w:tcW w:w="5000" w:type="pct"/>
            <w:tcBorders>
              <w:top w:val="nil"/>
              <w:left w:val="nil"/>
              <w:bottom w:val="single" w:sz="6" w:space="0" w:color="78A22F"/>
              <w:right w:val="nil"/>
            </w:tcBorders>
            <w:shd w:val="clear" w:color="auto" w:fill="auto"/>
          </w:tcPr>
          <w:p w14:paraId="0EFA57EC" w14:textId="77777777" w:rsidR="003E28A0" w:rsidRDefault="003E28A0" w:rsidP="00414467">
            <w:pPr>
              <w:pStyle w:val="Box"/>
              <w:spacing w:before="0" w:line="120" w:lineRule="exact"/>
            </w:pPr>
          </w:p>
        </w:tc>
      </w:tr>
      <w:tr w:rsidR="003E28A0" w:rsidRPr="000863A5" w14:paraId="093096D9" w14:textId="77777777" w:rsidTr="00A67704">
        <w:tc>
          <w:tcPr>
            <w:tcW w:w="5000" w:type="pct"/>
            <w:tcBorders>
              <w:top w:val="single" w:sz="6" w:space="0" w:color="78A22F"/>
              <w:left w:val="nil"/>
              <w:bottom w:val="nil"/>
              <w:right w:val="nil"/>
            </w:tcBorders>
          </w:tcPr>
          <w:p w14:paraId="19D7DC71" w14:textId="5D235676" w:rsidR="003E28A0" w:rsidRPr="00626D32" w:rsidRDefault="003E28A0" w:rsidP="00414467">
            <w:pPr>
              <w:pStyle w:val="BoxSpaceBelow"/>
            </w:pPr>
          </w:p>
        </w:tc>
      </w:tr>
    </w:tbl>
    <w:p w14:paraId="655E6B3E" w14:textId="77777777" w:rsidR="00A40FC1" w:rsidRDefault="00A40FC1" w:rsidP="00A40FC1">
      <w:pPr>
        <w:pStyle w:val="BoxSpaceAbove"/>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A40FC1" w14:paraId="5F31E6CF" w14:textId="77777777" w:rsidTr="00D57CB1">
        <w:trPr>
          <w:tblHeader/>
        </w:trPr>
        <w:tc>
          <w:tcPr>
            <w:tcW w:w="5000" w:type="pct"/>
            <w:shd w:val="clear" w:color="auto" w:fill="auto"/>
          </w:tcPr>
          <w:p w14:paraId="4A635147" w14:textId="41112AB1" w:rsidR="00A40FC1" w:rsidRPr="00784A05" w:rsidRDefault="00A40FC1" w:rsidP="00AA16BB">
            <w:pPr>
              <w:pStyle w:val="TableTitle"/>
            </w:pPr>
            <w:r>
              <w:rPr>
                <w:b w:val="0"/>
              </w:rPr>
              <w:t xml:space="preserve">Table </w:t>
            </w:r>
            <w:r w:rsidR="000C7D74">
              <w:rPr>
                <w:b w:val="0"/>
              </w:rPr>
              <w:t>18.</w:t>
            </w:r>
            <w:r w:rsidR="004F1E16">
              <w:rPr>
                <w:b w:val="0"/>
                <w:noProof/>
              </w:rPr>
              <w:t>2</w:t>
            </w:r>
            <w:r>
              <w:tab/>
            </w:r>
            <w:r w:rsidRPr="00A40FC1">
              <w:t xml:space="preserve">State owned and managed Indigenous housing </w:t>
            </w:r>
            <w:r>
              <w:t>policy context, 20</w:t>
            </w:r>
            <w:r w:rsidR="0012794D">
              <w:t>20</w:t>
            </w:r>
            <w:r w:rsidRPr="00A40FC1">
              <w:rPr>
                <w:rStyle w:val="NoteLabel"/>
                <w:b/>
              </w:rPr>
              <w:t>a</w:t>
            </w:r>
            <w:r w:rsidR="00F4536F">
              <w:rPr>
                <w:rStyle w:val="NoteLabel"/>
                <w:b/>
              </w:rPr>
              <w:t>,</w:t>
            </w:r>
            <w:r w:rsidR="00024123">
              <w:rPr>
                <w:rStyle w:val="NoteLabel"/>
                <w:b/>
              </w:rPr>
              <w:t> </w:t>
            </w:r>
            <w:r w:rsidR="00F4536F">
              <w:rPr>
                <w:rStyle w:val="NoteLabel"/>
                <w:b/>
              </w:rPr>
              <w:t>b</w:t>
            </w:r>
            <w:r w:rsidRPr="00A83249">
              <w:rPr>
                <w:rStyle w:val="NoteLabel"/>
                <w:b/>
              </w:rPr>
              <w:tab/>
            </w:r>
          </w:p>
        </w:tc>
      </w:tr>
      <w:tr w:rsidR="00A40FC1" w14:paraId="46DEA174" w14:textId="77777777" w:rsidTr="00D57CB1">
        <w:tc>
          <w:tcPr>
            <w:tcW w:w="5000" w:type="pct"/>
            <w:shd w:val="clear" w:color="auto" w:fill="auto"/>
          </w:tcPr>
          <w:tbl>
            <w:tblPr>
              <w:tblW w:w="5000" w:type="pct"/>
              <w:tblCellMar>
                <w:top w:w="28" w:type="dxa"/>
                <w:left w:w="0" w:type="dxa"/>
                <w:right w:w="0" w:type="dxa"/>
              </w:tblCellMar>
              <w:tblLook w:val="0000" w:firstRow="0" w:lastRow="0" w:firstColumn="0" w:lastColumn="0" w:noHBand="0" w:noVBand="0"/>
            </w:tblPr>
            <w:tblGrid>
              <w:gridCol w:w="2221"/>
              <w:gridCol w:w="2221"/>
              <w:gridCol w:w="2221"/>
              <w:gridCol w:w="2221"/>
              <w:gridCol w:w="2220"/>
              <w:gridCol w:w="2220"/>
            </w:tblGrid>
            <w:tr w:rsidR="00605FE2" w:rsidRPr="00F231F4" w14:paraId="7BF73D1E" w14:textId="77777777" w:rsidTr="00241028">
              <w:trPr>
                <w:trHeight w:val="276"/>
                <w:tblHeader/>
              </w:trPr>
              <w:tc>
                <w:tcPr>
                  <w:tcW w:w="833" w:type="pct"/>
                  <w:tcBorders>
                    <w:top w:val="single" w:sz="6" w:space="0" w:color="BFBFBF"/>
                    <w:bottom w:val="single" w:sz="6" w:space="0" w:color="BFBFBF"/>
                  </w:tcBorders>
                  <w:shd w:val="clear" w:color="auto" w:fill="auto"/>
                  <w:tcMar>
                    <w:top w:w="28" w:type="dxa"/>
                  </w:tcMar>
                </w:tcPr>
                <w:p w14:paraId="1870811F" w14:textId="77777777" w:rsidR="00605FE2" w:rsidRDefault="00605FE2" w:rsidP="00355FCF">
                  <w:pPr>
                    <w:pStyle w:val="TableColumnHeading"/>
                    <w:jc w:val="center"/>
                  </w:pPr>
                </w:p>
              </w:tc>
              <w:tc>
                <w:tcPr>
                  <w:tcW w:w="833" w:type="pct"/>
                  <w:tcBorders>
                    <w:top w:val="single" w:sz="6" w:space="0" w:color="BFBFBF"/>
                    <w:bottom w:val="single" w:sz="6" w:space="0" w:color="BFBFBF"/>
                  </w:tcBorders>
                </w:tcPr>
                <w:p w14:paraId="2F1647A6" w14:textId="75780BCE" w:rsidR="00605FE2" w:rsidRPr="00F231F4" w:rsidRDefault="00605FE2" w:rsidP="00AB1C99">
                  <w:pPr>
                    <w:pStyle w:val="TableColumnHeading"/>
                    <w:jc w:val="center"/>
                  </w:pPr>
                  <w:r w:rsidRPr="00F231F4">
                    <w:t>NSW</w:t>
                  </w:r>
                  <w:r w:rsidRPr="007747DC">
                    <w:rPr>
                      <w:rStyle w:val="NoteLabel"/>
                      <w:i w:val="0"/>
                    </w:rPr>
                    <w:t>c</w:t>
                  </w:r>
                </w:p>
              </w:tc>
              <w:tc>
                <w:tcPr>
                  <w:tcW w:w="833" w:type="pct"/>
                  <w:tcBorders>
                    <w:top w:val="single" w:sz="6" w:space="0" w:color="BFBFBF"/>
                    <w:bottom w:val="single" w:sz="6" w:space="0" w:color="BFBFBF"/>
                  </w:tcBorders>
                  <w:shd w:val="clear" w:color="auto" w:fill="auto"/>
                  <w:tcMar>
                    <w:top w:w="28" w:type="dxa"/>
                  </w:tcMar>
                </w:tcPr>
                <w:p w14:paraId="70B12322" w14:textId="70B262CF" w:rsidR="00605FE2" w:rsidRPr="00F231F4" w:rsidRDefault="00605FE2" w:rsidP="00355FCF">
                  <w:pPr>
                    <w:pStyle w:val="TableColumnHeading"/>
                    <w:ind w:right="28"/>
                    <w:jc w:val="center"/>
                  </w:pPr>
                  <w:r w:rsidRPr="00F231F4">
                    <w:t>Q</w:t>
                  </w:r>
                  <w:r w:rsidR="00AB1C99">
                    <w:t>ld</w:t>
                  </w:r>
                  <w:r w:rsidRPr="007747DC">
                    <w:rPr>
                      <w:rStyle w:val="NoteLabel"/>
                      <w:i w:val="0"/>
                    </w:rPr>
                    <w:t>d</w:t>
                  </w:r>
                </w:p>
              </w:tc>
              <w:tc>
                <w:tcPr>
                  <w:tcW w:w="833" w:type="pct"/>
                  <w:tcBorders>
                    <w:top w:val="single" w:sz="6" w:space="0" w:color="BFBFBF"/>
                    <w:bottom w:val="single" w:sz="6" w:space="0" w:color="BFBFBF"/>
                  </w:tcBorders>
                </w:tcPr>
                <w:p w14:paraId="7F5E4A43" w14:textId="4C29F521" w:rsidR="00605FE2" w:rsidRPr="00F231F4" w:rsidRDefault="00AB1C99" w:rsidP="00355FCF">
                  <w:pPr>
                    <w:pStyle w:val="TableColumnHeading"/>
                    <w:ind w:right="28"/>
                    <w:jc w:val="center"/>
                  </w:pPr>
                  <w:r>
                    <w:t>SA</w:t>
                  </w:r>
                  <w:r w:rsidR="00605FE2" w:rsidRPr="007747DC">
                    <w:rPr>
                      <w:rStyle w:val="NoteLabel"/>
                      <w:i w:val="0"/>
                    </w:rPr>
                    <w:t>e</w:t>
                  </w:r>
                </w:p>
              </w:tc>
              <w:tc>
                <w:tcPr>
                  <w:tcW w:w="833" w:type="pct"/>
                  <w:tcBorders>
                    <w:top w:val="single" w:sz="6" w:space="0" w:color="BFBFBF"/>
                    <w:bottom w:val="single" w:sz="6" w:space="0" w:color="BFBFBF"/>
                  </w:tcBorders>
                </w:tcPr>
                <w:p w14:paraId="5F53D77C" w14:textId="00ADDD8A" w:rsidR="00605FE2" w:rsidRPr="00F231F4" w:rsidRDefault="00605FE2" w:rsidP="00AB1C99">
                  <w:pPr>
                    <w:pStyle w:val="TableColumnHeading"/>
                    <w:ind w:right="28"/>
                    <w:jc w:val="center"/>
                  </w:pPr>
                  <w:r w:rsidRPr="00F231F4">
                    <w:t>Tas</w:t>
                  </w:r>
                  <w:r w:rsidRPr="007747DC">
                    <w:rPr>
                      <w:rStyle w:val="NoteLabel"/>
                      <w:i w:val="0"/>
                    </w:rPr>
                    <w:t>f</w:t>
                  </w:r>
                </w:p>
              </w:tc>
              <w:tc>
                <w:tcPr>
                  <w:tcW w:w="833" w:type="pct"/>
                  <w:tcBorders>
                    <w:top w:val="single" w:sz="6" w:space="0" w:color="BFBFBF"/>
                    <w:bottom w:val="single" w:sz="6" w:space="0" w:color="BFBFBF"/>
                  </w:tcBorders>
                </w:tcPr>
                <w:p w14:paraId="4BCC697A" w14:textId="5D130B96" w:rsidR="00605FE2" w:rsidRPr="00F231F4" w:rsidRDefault="00605FE2" w:rsidP="00AB1C99">
                  <w:pPr>
                    <w:pStyle w:val="TableColumnHeading"/>
                    <w:ind w:right="28"/>
                    <w:jc w:val="center"/>
                  </w:pPr>
                  <w:r w:rsidRPr="00F231F4">
                    <w:t>NT</w:t>
                  </w:r>
                  <w:r w:rsidRPr="007747DC">
                    <w:rPr>
                      <w:rStyle w:val="NoteLabel"/>
                      <w:i w:val="0"/>
                    </w:rPr>
                    <w:t>g</w:t>
                  </w:r>
                </w:p>
              </w:tc>
            </w:tr>
            <w:tr w:rsidR="00D57CB1" w:rsidRPr="00F231F4" w14:paraId="7812CED4" w14:textId="77777777" w:rsidTr="00166D72">
              <w:tc>
                <w:tcPr>
                  <w:tcW w:w="833" w:type="pct"/>
                  <w:tcBorders>
                    <w:top w:val="single" w:sz="6" w:space="0" w:color="BFBFBF"/>
                  </w:tcBorders>
                </w:tcPr>
                <w:p w14:paraId="56F092E5" w14:textId="77777777" w:rsidR="00A41A99" w:rsidRPr="00F231F4" w:rsidRDefault="00A41A99" w:rsidP="00414467">
                  <w:pPr>
                    <w:pStyle w:val="TableUnitsRow"/>
                    <w:jc w:val="left"/>
                    <w:rPr>
                      <w:rFonts w:cs="Arial"/>
                      <w:b/>
                      <w:szCs w:val="18"/>
                    </w:rPr>
                  </w:pPr>
                  <w:r w:rsidRPr="00F231F4">
                    <w:rPr>
                      <w:rFonts w:cs="Arial"/>
                      <w:b/>
                      <w:szCs w:val="18"/>
                    </w:rPr>
                    <w:t>Eligibility</w:t>
                  </w:r>
                </w:p>
              </w:tc>
              <w:tc>
                <w:tcPr>
                  <w:tcW w:w="833" w:type="pct"/>
                  <w:tcBorders>
                    <w:top w:val="single" w:sz="6" w:space="0" w:color="BFBFBF"/>
                  </w:tcBorders>
                </w:tcPr>
                <w:p w14:paraId="664043B7" w14:textId="77777777" w:rsidR="00A41A99" w:rsidRPr="00F231F4" w:rsidRDefault="00A41A99" w:rsidP="00414467">
                  <w:pPr>
                    <w:pStyle w:val="TableUnitsRow"/>
                  </w:pPr>
                </w:p>
              </w:tc>
              <w:tc>
                <w:tcPr>
                  <w:tcW w:w="833" w:type="pct"/>
                  <w:tcBorders>
                    <w:top w:val="single" w:sz="6" w:space="0" w:color="BFBFBF"/>
                  </w:tcBorders>
                </w:tcPr>
                <w:p w14:paraId="2C462ABA" w14:textId="77777777" w:rsidR="00A41A99" w:rsidRPr="00F231F4" w:rsidRDefault="00A41A99" w:rsidP="00414467">
                  <w:pPr>
                    <w:pStyle w:val="TableUnitsRow"/>
                    <w:ind w:right="28"/>
                  </w:pPr>
                </w:p>
              </w:tc>
              <w:tc>
                <w:tcPr>
                  <w:tcW w:w="833" w:type="pct"/>
                  <w:tcBorders>
                    <w:top w:val="single" w:sz="6" w:space="0" w:color="BFBFBF"/>
                  </w:tcBorders>
                </w:tcPr>
                <w:p w14:paraId="683AB68D" w14:textId="77777777" w:rsidR="00A41A99" w:rsidRPr="00F231F4" w:rsidRDefault="00A41A99" w:rsidP="00414467">
                  <w:pPr>
                    <w:pStyle w:val="TableUnitsRow"/>
                    <w:ind w:right="28"/>
                  </w:pPr>
                </w:p>
              </w:tc>
              <w:tc>
                <w:tcPr>
                  <w:tcW w:w="833" w:type="pct"/>
                  <w:tcBorders>
                    <w:top w:val="single" w:sz="6" w:space="0" w:color="BFBFBF"/>
                  </w:tcBorders>
                </w:tcPr>
                <w:p w14:paraId="2F7A2713" w14:textId="77777777" w:rsidR="00A41A99" w:rsidRPr="00F231F4" w:rsidRDefault="00A41A99" w:rsidP="00414467">
                  <w:pPr>
                    <w:pStyle w:val="TableUnitsRow"/>
                    <w:ind w:right="28"/>
                  </w:pPr>
                </w:p>
              </w:tc>
              <w:tc>
                <w:tcPr>
                  <w:tcW w:w="833" w:type="pct"/>
                  <w:tcBorders>
                    <w:top w:val="single" w:sz="6" w:space="0" w:color="BFBFBF"/>
                  </w:tcBorders>
                </w:tcPr>
                <w:p w14:paraId="519263FD" w14:textId="77777777" w:rsidR="00A41A99" w:rsidRPr="00F231F4" w:rsidRDefault="00A41A99" w:rsidP="00414467">
                  <w:pPr>
                    <w:pStyle w:val="TableUnitsRow"/>
                    <w:ind w:right="28"/>
                  </w:pPr>
                </w:p>
              </w:tc>
            </w:tr>
            <w:tr w:rsidR="003B1F66" w:rsidRPr="00F231F4" w14:paraId="363A9D4A" w14:textId="77777777" w:rsidTr="00F231F4">
              <w:tc>
                <w:tcPr>
                  <w:tcW w:w="833" w:type="pct"/>
                </w:tcPr>
                <w:p w14:paraId="049586C4" w14:textId="77777777" w:rsidR="003B1F66" w:rsidRPr="00F231F4" w:rsidRDefault="003B1F66" w:rsidP="003B1F66">
                  <w:pPr>
                    <w:pStyle w:val="TableUnitsRow"/>
                    <w:jc w:val="left"/>
                  </w:pPr>
                  <w:r w:rsidRPr="00F231F4">
                    <w:t>Income limit per week ($)</w:t>
                  </w:r>
                </w:p>
              </w:tc>
              <w:tc>
                <w:tcPr>
                  <w:tcW w:w="833" w:type="pct"/>
                  <w:shd w:val="clear" w:color="auto" w:fill="auto"/>
                </w:tcPr>
                <w:p w14:paraId="775FC878" w14:textId="32FBCFB9" w:rsidR="003B1F66" w:rsidRPr="00F231F4" w:rsidRDefault="003B1F66" w:rsidP="00DB656C">
                  <w:pPr>
                    <w:pStyle w:val="TableUnitsRow"/>
                    <w:jc w:val="center"/>
                  </w:pPr>
                  <w:r w:rsidRPr="000C05DC">
                    <w:t>6</w:t>
                  </w:r>
                  <w:r w:rsidR="00DB656C" w:rsidRPr="000C05DC">
                    <w:t>4</w:t>
                  </w:r>
                  <w:r w:rsidRPr="000C05DC">
                    <w:t>0</w:t>
                  </w:r>
                </w:p>
              </w:tc>
              <w:tc>
                <w:tcPr>
                  <w:tcW w:w="833" w:type="pct"/>
                </w:tcPr>
                <w:p w14:paraId="35B05045" w14:textId="614164F1" w:rsidR="003B1F66" w:rsidRPr="00F231F4" w:rsidRDefault="003B1F66" w:rsidP="000B5AFE">
                  <w:pPr>
                    <w:pStyle w:val="TableUnitsRow"/>
                    <w:ind w:right="28"/>
                    <w:jc w:val="center"/>
                  </w:pPr>
                  <w:r w:rsidRPr="00F231F4">
                    <w:t>609</w:t>
                  </w:r>
                  <w:r w:rsidR="000B5AFE">
                    <w:t> </w:t>
                  </w:r>
                  <w:r w:rsidRPr="00F231F4">
                    <w:t>(single, no children); Limits vary depending on household type</w:t>
                  </w:r>
                </w:p>
              </w:tc>
              <w:tc>
                <w:tcPr>
                  <w:tcW w:w="833" w:type="pct"/>
                </w:tcPr>
                <w:p w14:paraId="66AAF0E8" w14:textId="17348AFF" w:rsidR="003B1F66" w:rsidRPr="00F231F4" w:rsidRDefault="003B1F66" w:rsidP="000B5AFE">
                  <w:pPr>
                    <w:pStyle w:val="TableUnitsRow"/>
                    <w:ind w:right="28"/>
                    <w:jc w:val="center"/>
                  </w:pPr>
                  <w:r w:rsidRPr="00F231F4">
                    <w:t>1</w:t>
                  </w:r>
                  <w:r w:rsidR="003F12F9">
                    <w:t> </w:t>
                  </w:r>
                  <w:r w:rsidRPr="00F231F4">
                    <w:t>016</w:t>
                  </w:r>
                  <w:r w:rsidR="000B5AFE">
                    <w:t> </w:t>
                  </w:r>
                  <w:r w:rsidRPr="00F231F4">
                    <w:t>(single, no children); Limits vary depending on household type</w:t>
                  </w:r>
                </w:p>
              </w:tc>
              <w:tc>
                <w:tcPr>
                  <w:tcW w:w="833" w:type="pct"/>
                </w:tcPr>
                <w:p w14:paraId="46E8ECC4" w14:textId="78323FA3" w:rsidR="003B1F66" w:rsidRPr="00F231F4" w:rsidRDefault="003B1F66" w:rsidP="000B5AFE">
                  <w:pPr>
                    <w:pStyle w:val="TableUnitsRow"/>
                    <w:ind w:right="28"/>
                    <w:jc w:val="center"/>
                  </w:pPr>
                  <w:r w:rsidRPr="00F231F4">
                    <w:t>5</w:t>
                  </w:r>
                  <w:r w:rsidR="001200EB" w:rsidRPr="00F231F4">
                    <w:t>6</w:t>
                  </w:r>
                  <w:r w:rsidRPr="00F231F4">
                    <w:t>1</w:t>
                  </w:r>
                  <w:r w:rsidR="000B5AFE">
                    <w:t> </w:t>
                  </w:r>
                  <w:r w:rsidRPr="00F231F4">
                    <w:t>(single, no children); Limits vary depending on household type</w:t>
                  </w:r>
                </w:p>
              </w:tc>
              <w:tc>
                <w:tcPr>
                  <w:tcW w:w="833" w:type="pct"/>
                </w:tcPr>
                <w:p w14:paraId="756B737E" w14:textId="41509681" w:rsidR="003B1F66" w:rsidRPr="00F231F4" w:rsidRDefault="003B1F66" w:rsidP="003B1F66">
                  <w:pPr>
                    <w:pStyle w:val="TableUnitsRow"/>
                    <w:ind w:right="28"/>
                    <w:jc w:val="center"/>
                  </w:pPr>
                  <w:r w:rsidRPr="00F231F4">
                    <w:t>..</w:t>
                  </w:r>
                </w:p>
              </w:tc>
            </w:tr>
            <w:tr w:rsidR="003B1F66" w:rsidRPr="00F231F4" w14:paraId="2B3B8CF8" w14:textId="77777777" w:rsidTr="00A86A9B">
              <w:trPr>
                <w:trHeight w:val="717"/>
              </w:trPr>
              <w:tc>
                <w:tcPr>
                  <w:tcW w:w="833" w:type="pct"/>
                </w:tcPr>
                <w:p w14:paraId="01B0E4BF" w14:textId="77777777" w:rsidR="003B1F66" w:rsidRPr="00F231F4" w:rsidRDefault="003B1F66" w:rsidP="003B1F66">
                  <w:pPr>
                    <w:pStyle w:val="TableUnitsRow"/>
                    <w:jc w:val="left"/>
                  </w:pPr>
                  <w:r w:rsidRPr="00F231F4">
                    <w:t>Other asset limits ($)</w:t>
                  </w:r>
                </w:p>
              </w:tc>
              <w:tc>
                <w:tcPr>
                  <w:tcW w:w="833" w:type="pct"/>
                </w:tcPr>
                <w:p w14:paraId="7A442416" w14:textId="47A38A32" w:rsidR="003B1F66" w:rsidRPr="00F231F4" w:rsidRDefault="003B1F66" w:rsidP="003B1F66">
                  <w:pPr>
                    <w:pStyle w:val="TableUnitsRow"/>
                    <w:jc w:val="center"/>
                  </w:pPr>
                  <w:r w:rsidRPr="00F231F4">
                    <w:t>None</w:t>
                  </w:r>
                </w:p>
              </w:tc>
              <w:tc>
                <w:tcPr>
                  <w:tcW w:w="833" w:type="pct"/>
                </w:tcPr>
                <w:p w14:paraId="657086B6" w14:textId="59F5CD1B" w:rsidR="003B1F66" w:rsidRPr="00F231F4" w:rsidRDefault="0034592C" w:rsidP="00350ED8">
                  <w:pPr>
                    <w:pStyle w:val="TableUnitsRow"/>
                    <w:jc w:val="center"/>
                  </w:pPr>
                  <w:r w:rsidRPr="00F231F4">
                    <w:t>116</w:t>
                  </w:r>
                  <w:r w:rsidR="00350ED8">
                    <w:t> </w:t>
                  </w:r>
                  <w:r w:rsidRPr="00F231F4">
                    <w:t xml:space="preserve">375 </w:t>
                  </w:r>
                  <w:r w:rsidR="003B1F66" w:rsidRPr="00F231F4">
                    <w:t xml:space="preserve">(single household) and </w:t>
                  </w:r>
                  <w:r w:rsidRPr="00F231F4">
                    <w:t>148</w:t>
                  </w:r>
                  <w:r w:rsidR="00350ED8">
                    <w:t> </w:t>
                  </w:r>
                  <w:r w:rsidRPr="00F231F4">
                    <w:t>625</w:t>
                  </w:r>
                  <w:r w:rsidR="003B1F66" w:rsidRPr="00F231F4">
                    <w:t xml:space="preserve"> (two or more person household)</w:t>
                  </w:r>
                </w:p>
              </w:tc>
              <w:tc>
                <w:tcPr>
                  <w:tcW w:w="833" w:type="pct"/>
                  <w:shd w:val="clear" w:color="auto" w:fill="auto"/>
                </w:tcPr>
                <w:p w14:paraId="71C1E464" w14:textId="50096848" w:rsidR="003B1F66" w:rsidRPr="00F231F4" w:rsidRDefault="003B1F66" w:rsidP="00350ED8">
                  <w:pPr>
                    <w:pStyle w:val="TableUnitsRow"/>
                    <w:jc w:val="center"/>
                  </w:pPr>
                  <w:r w:rsidRPr="00F231F4">
                    <w:rPr>
                      <w:szCs w:val="18"/>
                    </w:rPr>
                    <w:t>4</w:t>
                  </w:r>
                  <w:r w:rsidR="00350ED8">
                    <w:rPr>
                      <w:szCs w:val="18"/>
                    </w:rPr>
                    <w:t>73 </w:t>
                  </w:r>
                  <w:r w:rsidRPr="00F231F4">
                    <w:rPr>
                      <w:szCs w:val="18"/>
                    </w:rPr>
                    <w:t>750</w:t>
                  </w:r>
                  <w:r w:rsidRPr="00F231F4">
                    <w:t xml:space="preserve"> (single household) and 604</w:t>
                  </w:r>
                  <w:r w:rsidR="00350ED8">
                    <w:t> </w:t>
                  </w:r>
                  <w:r w:rsidRPr="00F231F4">
                    <w:t>000 (two or more person household)</w:t>
                  </w:r>
                </w:p>
              </w:tc>
              <w:tc>
                <w:tcPr>
                  <w:tcW w:w="833" w:type="pct"/>
                </w:tcPr>
                <w:p w14:paraId="3663CEA8" w14:textId="77777777" w:rsidR="003B1F66" w:rsidRPr="00F231F4" w:rsidRDefault="003B1F66" w:rsidP="003B1F66">
                  <w:pPr>
                    <w:pStyle w:val="TableUnitsRow"/>
                    <w:jc w:val="center"/>
                  </w:pPr>
                  <w:r w:rsidRPr="00F231F4">
                    <w:t>35 000</w:t>
                  </w:r>
                </w:p>
              </w:tc>
              <w:tc>
                <w:tcPr>
                  <w:tcW w:w="833" w:type="pct"/>
                </w:tcPr>
                <w:p w14:paraId="33C51822" w14:textId="20A3B654" w:rsidR="003B1F66" w:rsidRPr="00F231F4" w:rsidRDefault="003B1F66" w:rsidP="003B1F66">
                  <w:pPr>
                    <w:pStyle w:val="TableUnitsRow"/>
                    <w:jc w:val="center"/>
                  </w:pPr>
                  <w:r w:rsidRPr="00F231F4">
                    <w:t>..</w:t>
                  </w:r>
                </w:p>
              </w:tc>
            </w:tr>
            <w:tr w:rsidR="00D57CB1" w:rsidRPr="00F231F4" w14:paraId="1687038B" w14:textId="77777777" w:rsidTr="00241028">
              <w:tc>
                <w:tcPr>
                  <w:tcW w:w="833" w:type="pct"/>
                  <w:shd w:val="clear" w:color="auto" w:fill="auto"/>
                </w:tcPr>
                <w:p w14:paraId="269BDDE9" w14:textId="77777777" w:rsidR="00A41A99" w:rsidRPr="00F231F4" w:rsidRDefault="00A41A99" w:rsidP="00414467">
                  <w:pPr>
                    <w:pStyle w:val="TableBodyText"/>
                    <w:jc w:val="left"/>
                  </w:pPr>
                  <w:r w:rsidRPr="00F231F4">
                    <w:t>Minimum age (years)</w:t>
                  </w:r>
                </w:p>
              </w:tc>
              <w:tc>
                <w:tcPr>
                  <w:tcW w:w="833" w:type="pct"/>
                </w:tcPr>
                <w:p w14:paraId="449D08FD" w14:textId="593E029A" w:rsidR="00A41A99" w:rsidRPr="00F231F4" w:rsidRDefault="00A41A99" w:rsidP="00350ED8">
                  <w:pPr>
                    <w:pStyle w:val="TableBodyText"/>
                    <w:jc w:val="center"/>
                  </w:pPr>
                  <w:r w:rsidRPr="00F231F4">
                    <w:t>18</w:t>
                  </w:r>
                  <w:r w:rsidR="00350ED8">
                    <w:t> </w:t>
                  </w:r>
                  <w:r w:rsidRPr="00F231F4">
                    <w:t>years</w:t>
                  </w:r>
                </w:p>
              </w:tc>
              <w:tc>
                <w:tcPr>
                  <w:tcW w:w="833" w:type="pct"/>
                  <w:shd w:val="clear" w:color="auto" w:fill="auto"/>
                </w:tcPr>
                <w:p w14:paraId="4B1BDDCB" w14:textId="736BB090" w:rsidR="00A41A99" w:rsidRPr="00F231F4" w:rsidRDefault="00A41A99" w:rsidP="003F12F9">
                  <w:pPr>
                    <w:pStyle w:val="TableBodyText"/>
                    <w:ind w:right="28"/>
                    <w:jc w:val="center"/>
                  </w:pPr>
                  <w:r w:rsidRPr="00F231F4">
                    <w:t xml:space="preserve">None </w:t>
                  </w:r>
                  <w:r w:rsidR="003F12F9">
                    <w:rPr>
                      <w:rFonts w:cs="Arial"/>
                    </w:rPr>
                    <w:t>—</w:t>
                  </w:r>
                  <w:r w:rsidRPr="00F231F4">
                    <w:t xml:space="preserve"> need to meet independent income eligibility criteria</w:t>
                  </w:r>
                </w:p>
              </w:tc>
              <w:tc>
                <w:tcPr>
                  <w:tcW w:w="833" w:type="pct"/>
                </w:tcPr>
                <w:p w14:paraId="54C6BACB" w14:textId="77777777" w:rsidR="00A41A99" w:rsidRPr="00F231F4" w:rsidRDefault="00A41A99" w:rsidP="002D0D00">
                  <w:pPr>
                    <w:pStyle w:val="TableBodyText"/>
                    <w:ind w:right="28"/>
                    <w:jc w:val="center"/>
                  </w:pPr>
                  <w:r w:rsidRPr="00F231F4">
                    <w:t>None</w:t>
                  </w:r>
                </w:p>
              </w:tc>
              <w:tc>
                <w:tcPr>
                  <w:tcW w:w="833" w:type="pct"/>
                </w:tcPr>
                <w:p w14:paraId="66F8D26A" w14:textId="77777777" w:rsidR="00A41A99" w:rsidRPr="00F231F4" w:rsidRDefault="00A41A99" w:rsidP="002D0D00">
                  <w:pPr>
                    <w:pStyle w:val="TableBodyText"/>
                    <w:ind w:right="28"/>
                    <w:jc w:val="center"/>
                  </w:pPr>
                  <w:r w:rsidRPr="00F231F4">
                    <w:t>16</w:t>
                  </w:r>
                </w:p>
              </w:tc>
              <w:tc>
                <w:tcPr>
                  <w:tcW w:w="833" w:type="pct"/>
                </w:tcPr>
                <w:p w14:paraId="744F0530" w14:textId="77777777" w:rsidR="00A41A99" w:rsidRPr="00F231F4" w:rsidRDefault="00A41A99" w:rsidP="002D0D00">
                  <w:pPr>
                    <w:pStyle w:val="TableBodyText"/>
                    <w:ind w:right="28"/>
                    <w:jc w:val="center"/>
                  </w:pPr>
                  <w:r w:rsidRPr="00F231F4">
                    <w:t>16</w:t>
                  </w:r>
                </w:p>
              </w:tc>
            </w:tr>
            <w:tr w:rsidR="00D57CB1" w:rsidRPr="00F231F4" w14:paraId="05A449DF" w14:textId="77777777" w:rsidTr="00241028">
              <w:tc>
                <w:tcPr>
                  <w:tcW w:w="833" w:type="pct"/>
                  <w:shd w:val="clear" w:color="auto" w:fill="auto"/>
                </w:tcPr>
                <w:p w14:paraId="582A2D04" w14:textId="1750AC5F" w:rsidR="00D57CB1" w:rsidRPr="00F231F4" w:rsidRDefault="00A41A99" w:rsidP="00B22147">
                  <w:pPr>
                    <w:pStyle w:val="TableUnitsRow"/>
                    <w:jc w:val="left"/>
                  </w:pPr>
                  <w:r w:rsidRPr="00F231F4">
                    <w:rPr>
                      <w:b/>
                    </w:rPr>
                    <w:t>Waiting list</w:t>
                  </w:r>
                  <w:r w:rsidR="00B22147" w:rsidRPr="00F231F4">
                    <w:rPr>
                      <w:b/>
                    </w:rPr>
                    <w:t xml:space="preserve"> </w:t>
                  </w:r>
                  <w:r w:rsidR="00B22147" w:rsidRPr="00F231F4">
                    <w:t>—</w:t>
                  </w:r>
                  <w:r w:rsidR="00B22147" w:rsidRPr="00F231F4">
                    <w:rPr>
                      <w:b/>
                    </w:rPr>
                    <w:t xml:space="preserve"> </w:t>
                  </w:r>
                  <w:r w:rsidR="00B22147" w:rsidRPr="00F231F4">
                    <w:br/>
                  </w:r>
                  <w:r w:rsidRPr="00F231F4">
                    <w:t>Segment by</w:t>
                  </w:r>
                  <w:r w:rsidRPr="00F231F4">
                    <w:tab/>
                  </w:r>
                </w:p>
                <w:p w14:paraId="0A748A34" w14:textId="6864EF7F" w:rsidR="00A41A99" w:rsidRPr="00F231F4" w:rsidRDefault="00A41A99" w:rsidP="00856952">
                  <w:pPr>
                    <w:pStyle w:val="TableUnitsRow"/>
                    <w:jc w:val="left"/>
                  </w:pPr>
                  <w:r w:rsidRPr="00F231F4">
                    <w:tab/>
                  </w:r>
                  <w:r w:rsidRPr="00F231F4">
                    <w:tab/>
                  </w:r>
                </w:p>
              </w:tc>
              <w:tc>
                <w:tcPr>
                  <w:tcW w:w="833" w:type="pct"/>
                </w:tcPr>
                <w:p w14:paraId="33E69521" w14:textId="77777777" w:rsidR="00A41A99" w:rsidRPr="00F231F4" w:rsidRDefault="00A41A99" w:rsidP="002D0D00">
                  <w:pPr>
                    <w:pStyle w:val="TableUnitsRow"/>
                    <w:jc w:val="center"/>
                  </w:pPr>
                  <w:r w:rsidRPr="00F231F4">
                    <w:t>Single list of approved clients</w:t>
                  </w:r>
                </w:p>
              </w:tc>
              <w:tc>
                <w:tcPr>
                  <w:tcW w:w="833" w:type="pct"/>
                  <w:shd w:val="clear" w:color="auto" w:fill="auto"/>
                </w:tcPr>
                <w:p w14:paraId="392DD114" w14:textId="6A922BBE" w:rsidR="00A41A99" w:rsidRPr="00F231F4" w:rsidRDefault="00A41A99" w:rsidP="002D2834">
                  <w:pPr>
                    <w:pStyle w:val="TableUnitsRow"/>
                    <w:jc w:val="center"/>
                  </w:pPr>
                  <w:r w:rsidRPr="00F231F4">
                    <w:t>Need (</w:t>
                  </w:r>
                  <w:r w:rsidR="002D2834" w:rsidRPr="00F231F4">
                    <w:t>f</w:t>
                  </w:r>
                  <w:r w:rsidRPr="00F231F4">
                    <w:t>our segments</w:t>
                  </w:r>
                  <w:r w:rsidR="002F694E" w:rsidRPr="00F231F4">
                    <w:t>),</w:t>
                  </w:r>
                  <w:r w:rsidRPr="00F231F4">
                    <w:t xml:space="preserve"> combined with public housing</w:t>
                  </w:r>
                </w:p>
              </w:tc>
              <w:tc>
                <w:tcPr>
                  <w:tcW w:w="833" w:type="pct"/>
                </w:tcPr>
                <w:p w14:paraId="72A4DC16" w14:textId="77777777" w:rsidR="00A41A99" w:rsidRPr="00F231F4" w:rsidRDefault="00A41A99" w:rsidP="002D0D00">
                  <w:pPr>
                    <w:pStyle w:val="TableUnitsRow"/>
                    <w:jc w:val="center"/>
                  </w:pPr>
                  <w:r w:rsidRPr="00F231F4">
                    <w:t>Need (four segments)</w:t>
                  </w:r>
                </w:p>
              </w:tc>
              <w:tc>
                <w:tcPr>
                  <w:tcW w:w="833" w:type="pct"/>
                </w:tcPr>
                <w:p w14:paraId="399C4010" w14:textId="3FEC8136" w:rsidR="00A41A99" w:rsidRPr="00F231F4" w:rsidRDefault="00A41A99" w:rsidP="003F12F9">
                  <w:pPr>
                    <w:pStyle w:val="TableUnitsRow"/>
                    <w:jc w:val="center"/>
                  </w:pPr>
                  <w:r w:rsidRPr="00F231F4">
                    <w:t>Category A</w:t>
                  </w:r>
                  <w:r w:rsidR="003F12F9">
                    <w:rPr>
                      <w:rFonts w:cs="Arial"/>
                    </w:rPr>
                    <w:t>–</w:t>
                  </w:r>
                  <w:r w:rsidRPr="00F231F4">
                    <w:t>C where A = highest priority</w:t>
                  </w:r>
                </w:p>
              </w:tc>
              <w:tc>
                <w:tcPr>
                  <w:tcW w:w="833" w:type="pct"/>
                </w:tcPr>
                <w:p w14:paraId="092904A8" w14:textId="1ABBAB94" w:rsidR="00A41A99" w:rsidRPr="00F231F4" w:rsidRDefault="00557A0F" w:rsidP="002D0D00">
                  <w:pPr>
                    <w:pStyle w:val="TableUnitsRow"/>
                    <w:jc w:val="center"/>
                  </w:pPr>
                  <w:r w:rsidRPr="00F231F4">
                    <w:t>..</w:t>
                  </w:r>
                </w:p>
              </w:tc>
            </w:tr>
            <w:tr w:rsidR="00241028" w:rsidRPr="00F231F4" w14:paraId="316E2613" w14:textId="77777777" w:rsidTr="00241028">
              <w:tc>
                <w:tcPr>
                  <w:tcW w:w="833" w:type="pct"/>
                  <w:shd w:val="clear" w:color="auto" w:fill="auto"/>
                </w:tcPr>
                <w:p w14:paraId="270DF136" w14:textId="02859D6C" w:rsidR="00241028" w:rsidRPr="00F231F4" w:rsidRDefault="00241028" w:rsidP="00241028">
                  <w:pPr>
                    <w:pStyle w:val="TableUnitsRow"/>
                    <w:jc w:val="left"/>
                    <w:rPr>
                      <w:b/>
                    </w:rPr>
                  </w:pPr>
                  <w:r w:rsidRPr="00F231F4">
                    <w:rPr>
                      <w:b/>
                    </w:rPr>
                    <w:t>Tenure</w:t>
                  </w:r>
                  <w:r w:rsidRPr="00F231F4">
                    <w:tab/>
                  </w:r>
                </w:p>
              </w:tc>
              <w:tc>
                <w:tcPr>
                  <w:tcW w:w="833" w:type="pct"/>
                </w:tcPr>
                <w:p w14:paraId="5CEB59D1" w14:textId="6B1AB0CC" w:rsidR="00241028" w:rsidRPr="00F231F4" w:rsidRDefault="00241028" w:rsidP="002D0D00">
                  <w:pPr>
                    <w:pStyle w:val="TableUnitsRow"/>
                    <w:jc w:val="center"/>
                  </w:pPr>
                </w:p>
              </w:tc>
              <w:tc>
                <w:tcPr>
                  <w:tcW w:w="833" w:type="pct"/>
                  <w:shd w:val="clear" w:color="auto" w:fill="auto"/>
                </w:tcPr>
                <w:p w14:paraId="4BE17F6A" w14:textId="6CF416C7" w:rsidR="00241028" w:rsidRPr="00F231F4" w:rsidRDefault="00241028" w:rsidP="002D0D00">
                  <w:pPr>
                    <w:pStyle w:val="TableUnitsRow"/>
                    <w:jc w:val="center"/>
                  </w:pPr>
                </w:p>
              </w:tc>
              <w:tc>
                <w:tcPr>
                  <w:tcW w:w="833" w:type="pct"/>
                </w:tcPr>
                <w:p w14:paraId="24E1F334" w14:textId="1348DA87" w:rsidR="00241028" w:rsidRPr="00F231F4" w:rsidRDefault="00241028" w:rsidP="002D0D00">
                  <w:pPr>
                    <w:pStyle w:val="TableUnitsRow"/>
                    <w:jc w:val="center"/>
                  </w:pPr>
                </w:p>
              </w:tc>
              <w:tc>
                <w:tcPr>
                  <w:tcW w:w="833" w:type="pct"/>
                </w:tcPr>
                <w:p w14:paraId="0B3BE8BC" w14:textId="5261F6E0" w:rsidR="00241028" w:rsidRPr="00F231F4" w:rsidRDefault="00241028" w:rsidP="002D0D00">
                  <w:pPr>
                    <w:pStyle w:val="TableUnitsRow"/>
                    <w:jc w:val="center"/>
                  </w:pPr>
                </w:p>
              </w:tc>
              <w:tc>
                <w:tcPr>
                  <w:tcW w:w="833" w:type="pct"/>
                </w:tcPr>
                <w:p w14:paraId="145C3BC8" w14:textId="12228C02" w:rsidR="00241028" w:rsidRPr="00F231F4" w:rsidRDefault="00241028" w:rsidP="002D0D00">
                  <w:pPr>
                    <w:pStyle w:val="TableUnitsRow"/>
                    <w:jc w:val="center"/>
                  </w:pPr>
                </w:p>
              </w:tc>
            </w:tr>
            <w:tr w:rsidR="00241028" w:rsidRPr="00F231F4" w14:paraId="5CCAFF8D" w14:textId="77777777" w:rsidTr="00241028">
              <w:tc>
                <w:tcPr>
                  <w:tcW w:w="833" w:type="pct"/>
                  <w:shd w:val="clear" w:color="auto" w:fill="auto"/>
                </w:tcPr>
                <w:p w14:paraId="344883F8" w14:textId="09A3E852" w:rsidR="00241028" w:rsidRPr="00F231F4" w:rsidRDefault="00241028" w:rsidP="00241028">
                  <w:pPr>
                    <w:pStyle w:val="TableUnitsRow"/>
                    <w:jc w:val="left"/>
                    <w:rPr>
                      <w:b/>
                    </w:rPr>
                  </w:pPr>
                  <w:r w:rsidRPr="00F231F4">
                    <w:t>Probation period</w:t>
                  </w:r>
                </w:p>
              </w:tc>
              <w:tc>
                <w:tcPr>
                  <w:tcW w:w="833" w:type="pct"/>
                </w:tcPr>
                <w:p w14:paraId="5CFB934A" w14:textId="40BA0CEB" w:rsidR="00241028" w:rsidRPr="00F231F4" w:rsidRDefault="00241028" w:rsidP="000B5AFE">
                  <w:pPr>
                    <w:pStyle w:val="TableUnitsRow"/>
                    <w:jc w:val="center"/>
                  </w:pPr>
                  <w:r w:rsidRPr="00F231F4">
                    <w:t>12</w:t>
                  </w:r>
                  <w:r w:rsidR="000B5AFE">
                    <w:t> </w:t>
                  </w:r>
                  <w:r w:rsidRPr="00F231F4">
                    <w:t>months</w:t>
                  </w:r>
                </w:p>
              </w:tc>
              <w:tc>
                <w:tcPr>
                  <w:tcW w:w="833" w:type="pct"/>
                  <w:shd w:val="clear" w:color="auto" w:fill="auto"/>
                </w:tcPr>
                <w:p w14:paraId="3A4E61B0" w14:textId="53F17C0A" w:rsidR="00241028" w:rsidRPr="00F231F4" w:rsidRDefault="00241028" w:rsidP="002D0D00">
                  <w:pPr>
                    <w:pStyle w:val="TableUnitsRow"/>
                    <w:jc w:val="center"/>
                  </w:pPr>
                  <w:r w:rsidRPr="00F231F4">
                    <w:t>None</w:t>
                  </w:r>
                </w:p>
              </w:tc>
              <w:tc>
                <w:tcPr>
                  <w:tcW w:w="833" w:type="pct"/>
                </w:tcPr>
                <w:p w14:paraId="6C0674AD" w14:textId="1C0A2395" w:rsidR="00241028" w:rsidRPr="00F231F4" w:rsidRDefault="00241028" w:rsidP="002D0D00">
                  <w:pPr>
                    <w:pStyle w:val="TableUnitsRow"/>
                    <w:jc w:val="center"/>
                  </w:pPr>
                  <w:r w:rsidRPr="00F231F4">
                    <w:t>12 months (</w:t>
                  </w:r>
                  <w:r w:rsidR="000B5AFE">
                    <w:t>up to 24 </w:t>
                  </w:r>
                  <w:r w:rsidRPr="00F231F4">
                    <w:t>months where required)</w:t>
                  </w:r>
                </w:p>
              </w:tc>
              <w:tc>
                <w:tcPr>
                  <w:tcW w:w="833" w:type="pct"/>
                </w:tcPr>
                <w:p w14:paraId="4EB70596" w14:textId="2714104F" w:rsidR="00241028" w:rsidRPr="00F231F4" w:rsidRDefault="00241028" w:rsidP="000B5AFE">
                  <w:pPr>
                    <w:pStyle w:val="TableUnitsRow"/>
                    <w:jc w:val="center"/>
                  </w:pPr>
                  <w:r w:rsidRPr="00F231F4">
                    <w:t>6</w:t>
                  </w:r>
                  <w:r w:rsidR="000B5AFE">
                    <w:t> </w:t>
                  </w:r>
                  <w:r w:rsidRPr="00F231F4">
                    <w:t>months</w:t>
                  </w:r>
                </w:p>
              </w:tc>
              <w:tc>
                <w:tcPr>
                  <w:tcW w:w="833" w:type="pct"/>
                </w:tcPr>
                <w:p w14:paraId="5E5E2554" w14:textId="4A405B78" w:rsidR="00241028" w:rsidRPr="00F231F4" w:rsidRDefault="00241028" w:rsidP="000B5AFE">
                  <w:pPr>
                    <w:pStyle w:val="TableUnitsRow"/>
                    <w:jc w:val="center"/>
                  </w:pPr>
                  <w:r w:rsidRPr="00F231F4">
                    <w:t>6</w:t>
                  </w:r>
                  <w:r w:rsidR="000B5AFE">
                    <w:t> </w:t>
                  </w:r>
                  <w:r w:rsidRPr="00F231F4">
                    <w:t>months</w:t>
                  </w:r>
                </w:p>
              </w:tc>
            </w:tr>
            <w:tr w:rsidR="00241028" w:rsidRPr="00F231F4" w14:paraId="0C739441" w14:textId="77777777" w:rsidTr="00355FCF">
              <w:tc>
                <w:tcPr>
                  <w:tcW w:w="833" w:type="pct"/>
                  <w:shd w:val="clear" w:color="auto" w:fill="auto"/>
                </w:tcPr>
                <w:p w14:paraId="29A4B6A7" w14:textId="07C52CC6" w:rsidR="00241028" w:rsidRPr="00F231F4" w:rsidRDefault="00241028" w:rsidP="00241028">
                  <w:pPr>
                    <w:pStyle w:val="TableUnitsRow"/>
                    <w:jc w:val="left"/>
                  </w:pPr>
                  <w:r w:rsidRPr="00F231F4">
                    <w:t>Fixed term</w:t>
                  </w:r>
                </w:p>
              </w:tc>
              <w:tc>
                <w:tcPr>
                  <w:tcW w:w="833" w:type="pct"/>
                </w:tcPr>
                <w:p w14:paraId="2EFFF9CA" w14:textId="51DE9989" w:rsidR="00241028" w:rsidRPr="00F231F4" w:rsidRDefault="00241028" w:rsidP="00350ED8">
                  <w:pPr>
                    <w:pStyle w:val="TableUnitsRow"/>
                    <w:jc w:val="center"/>
                  </w:pPr>
                  <w:r w:rsidRPr="00F231F4">
                    <w:t>Fixed term 2,</w:t>
                  </w:r>
                  <w:r w:rsidR="00350ED8">
                    <w:t> </w:t>
                  </w:r>
                  <w:r w:rsidRPr="00F231F4">
                    <w:t>5 or 10</w:t>
                  </w:r>
                  <w:r w:rsidR="00350ED8">
                    <w:t> </w:t>
                  </w:r>
                  <w:r w:rsidRPr="00F231F4">
                    <w:t>years</w:t>
                  </w:r>
                </w:p>
              </w:tc>
              <w:tc>
                <w:tcPr>
                  <w:tcW w:w="833" w:type="pct"/>
                  <w:shd w:val="clear" w:color="auto" w:fill="auto"/>
                </w:tcPr>
                <w:p w14:paraId="2D1E7B0C" w14:textId="01D57923" w:rsidR="00241028" w:rsidRPr="00F231F4" w:rsidRDefault="00241028" w:rsidP="00301433">
                  <w:pPr>
                    <w:pStyle w:val="TableUnitsRow"/>
                    <w:jc w:val="center"/>
                  </w:pPr>
                  <w:r w:rsidRPr="00F231F4">
                    <w:t>New tenancies a</w:t>
                  </w:r>
                  <w:r w:rsidR="00952B03">
                    <w:t xml:space="preserve">re fixed term for a period of </w:t>
                  </w:r>
                  <w:r w:rsidR="00952B03" w:rsidRPr="00952B03">
                    <w:t>3</w:t>
                  </w:r>
                  <w:r w:rsidR="00952B03">
                    <w:t> </w:t>
                  </w:r>
                  <w:r w:rsidRPr="00952B03">
                    <w:t>years</w:t>
                  </w:r>
                  <w:r w:rsidRPr="00F231F4">
                    <w:t>, and 6</w:t>
                  </w:r>
                  <w:r w:rsidR="00301433">
                    <w:noBreakHyphen/>
                  </w:r>
                  <w:r w:rsidRPr="00F231F4">
                    <w:t>month periodic tenancies for special circumstances</w:t>
                  </w:r>
                </w:p>
              </w:tc>
              <w:tc>
                <w:tcPr>
                  <w:tcW w:w="833" w:type="pct"/>
                </w:tcPr>
                <w:p w14:paraId="05634BD6" w14:textId="01880294" w:rsidR="00241028" w:rsidRPr="00F231F4" w:rsidRDefault="00241028" w:rsidP="00350ED8">
                  <w:pPr>
                    <w:pStyle w:val="TableUnitsRow"/>
                    <w:jc w:val="center"/>
                  </w:pPr>
                  <w:r w:rsidRPr="00F231F4">
                    <w:t>1,</w:t>
                  </w:r>
                  <w:r w:rsidR="00350ED8">
                    <w:t> </w:t>
                  </w:r>
                  <w:r w:rsidRPr="00F231F4">
                    <w:t>2,</w:t>
                  </w:r>
                  <w:r w:rsidR="00350ED8">
                    <w:t> </w:t>
                  </w:r>
                  <w:r w:rsidRPr="00F231F4">
                    <w:t>5</w:t>
                  </w:r>
                  <w:r w:rsidR="00350ED8">
                    <w:t> </w:t>
                  </w:r>
                  <w:r w:rsidRPr="00F231F4">
                    <w:t>and 10</w:t>
                  </w:r>
                  <w:r w:rsidR="00350ED8">
                    <w:t> </w:t>
                  </w:r>
                  <w:r w:rsidRPr="00F231F4">
                    <w:t>years</w:t>
                  </w:r>
                </w:p>
              </w:tc>
              <w:tc>
                <w:tcPr>
                  <w:tcW w:w="833" w:type="pct"/>
                </w:tcPr>
                <w:p w14:paraId="4D61075D" w14:textId="573E4AED" w:rsidR="00241028" w:rsidRPr="00F231F4" w:rsidRDefault="00241028" w:rsidP="00350ED8">
                  <w:pPr>
                    <w:pStyle w:val="TableUnitsRow"/>
                    <w:jc w:val="center"/>
                  </w:pPr>
                  <w:r w:rsidRPr="00F231F4">
                    <w:t>Variable tenure length up to 3</w:t>
                  </w:r>
                  <w:r w:rsidR="00350ED8">
                    <w:t> </w:t>
                  </w:r>
                  <w:r w:rsidRPr="00F231F4">
                    <w:t>years</w:t>
                  </w:r>
                </w:p>
              </w:tc>
              <w:tc>
                <w:tcPr>
                  <w:tcW w:w="833" w:type="pct"/>
                </w:tcPr>
                <w:p w14:paraId="1E646496" w14:textId="142FF995" w:rsidR="00241028" w:rsidRPr="00F231F4" w:rsidRDefault="00B53276" w:rsidP="002D0D00">
                  <w:pPr>
                    <w:pStyle w:val="TableUnitsRow"/>
                    <w:jc w:val="center"/>
                  </w:pPr>
                  <w:r w:rsidRPr="00F231F4">
                    <w:t>Offered as a probationary agreement only</w:t>
                  </w:r>
                </w:p>
              </w:tc>
            </w:tr>
            <w:tr w:rsidR="00EB025E" w:rsidRPr="00F231F4" w14:paraId="6F6232EA" w14:textId="77777777" w:rsidTr="00355FCF">
              <w:tc>
                <w:tcPr>
                  <w:tcW w:w="833" w:type="pct"/>
                  <w:shd w:val="clear" w:color="auto" w:fill="auto"/>
                </w:tcPr>
                <w:p w14:paraId="2B4461C8" w14:textId="7D1E56AA" w:rsidR="00EB025E" w:rsidRPr="00F231F4" w:rsidRDefault="00EB025E" w:rsidP="00EB025E">
                  <w:pPr>
                    <w:pStyle w:val="TableUnitsRow"/>
                    <w:jc w:val="left"/>
                  </w:pPr>
                  <w:r w:rsidRPr="00F231F4">
                    <w:t>Ongoing</w:t>
                  </w:r>
                </w:p>
              </w:tc>
              <w:tc>
                <w:tcPr>
                  <w:tcW w:w="833" w:type="pct"/>
                </w:tcPr>
                <w:p w14:paraId="7967F51E" w14:textId="0FEFB68A" w:rsidR="00EB025E" w:rsidRPr="00F231F4" w:rsidRDefault="00EB025E" w:rsidP="00EB025E">
                  <w:pPr>
                    <w:pStyle w:val="TableUnitsRow"/>
                    <w:jc w:val="center"/>
                  </w:pPr>
                  <w:r w:rsidRPr="00F231F4">
                    <w:t>Yes</w:t>
                  </w:r>
                </w:p>
              </w:tc>
              <w:tc>
                <w:tcPr>
                  <w:tcW w:w="833" w:type="pct"/>
                  <w:shd w:val="clear" w:color="auto" w:fill="auto"/>
                </w:tcPr>
                <w:p w14:paraId="24337A55" w14:textId="7A3A8C7E" w:rsidR="00EB025E" w:rsidRPr="00F231F4" w:rsidRDefault="00EB025E" w:rsidP="00EB025E">
                  <w:pPr>
                    <w:pStyle w:val="TableUnitsRow"/>
                    <w:jc w:val="center"/>
                  </w:pPr>
                  <w:r w:rsidRPr="00F231F4">
                    <w:t>Subject to review</w:t>
                  </w:r>
                </w:p>
              </w:tc>
              <w:tc>
                <w:tcPr>
                  <w:tcW w:w="833" w:type="pct"/>
                </w:tcPr>
                <w:p w14:paraId="65E8E139" w14:textId="20B76B09" w:rsidR="00EB025E" w:rsidRPr="00F231F4" w:rsidRDefault="00EB025E" w:rsidP="003F12F9">
                  <w:pPr>
                    <w:pStyle w:val="TableUnitsRow"/>
                    <w:ind w:left="0"/>
                    <w:jc w:val="center"/>
                  </w:pPr>
                  <w:r w:rsidRPr="00F231F4">
                    <w:t>Ongoing leases only apply to tenants housed before 1</w:t>
                  </w:r>
                  <w:r w:rsidR="003F12F9">
                    <w:t> October </w:t>
                  </w:r>
                  <w:r w:rsidRPr="00F231F4">
                    <w:t>2010</w:t>
                  </w:r>
                </w:p>
              </w:tc>
              <w:tc>
                <w:tcPr>
                  <w:tcW w:w="833" w:type="pct"/>
                </w:tcPr>
                <w:p w14:paraId="32153973" w14:textId="56AC0FB3" w:rsidR="00EB025E" w:rsidRPr="00F231F4" w:rsidRDefault="00EB025E" w:rsidP="00EB025E">
                  <w:pPr>
                    <w:pStyle w:val="TableUnitsRow"/>
                    <w:jc w:val="center"/>
                  </w:pPr>
                  <w:r w:rsidRPr="00F231F4">
                    <w:t>na</w:t>
                  </w:r>
                </w:p>
              </w:tc>
              <w:tc>
                <w:tcPr>
                  <w:tcW w:w="833" w:type="pct"/>
                </w:tcPr>
                <w:p w14:paraId="7349C046" w14:textId="21E33C44" w:rsidR="00EB025E" w:rsidRPr="00F231F4" w:rsidRDefault="00EB025E" w:rsidP="00EB025E">
                  <w:pPr>
                    <w:pStyle w:val="TableUnitsRow"/>
                    <w:jc w:val="center"/>
                  </w:pPr>
                  <w:r w:rsidRPr="00F231F4">
                    <w:t>Yes</w:t>
                  </w:r>
                </w:p>
              </w:tc>
            </w:tr>
            <w:tr w:rsidR="00D57CB1" w14:paraId="1F9FCD24" w14:textId="77777777" w:rsidTr="00355FCF">
              <w:tc>
                <w:tcPr>
                  <w:tcW w:w="833" w:type="pct"/>
                  <w:tcBorders>
                    <w:bottom w:val="single" w:sz="6" w:space="0" w:color="BFBFBF" w:themeColor="background1" w:themeShade="BF"/>
                  </w:tcBorders>
                  <w:shd w:val="clear" w:color="auto" w:fill="auto"/>
                </w:tcPr>
                <w:p w14:paraId="78C125A7" w14:textId="77777777" w:rsidR="00D57CB1" w:rsidRPr="00F231F4" w:rsidRDefault="00D57CB1" w:rsidP="00414467">
                  <w:pPr>
                    <w:pStyle w:val="TableBodyText"/>
                    <w:jc w:val="left"/>
                  </w:pPr>
                </w:p>
              </w:tc>
              <w:tc>
                <w:tcPr>
                  <w:tcW w:w="833" w:type="pct"/>
                  <w:tcBorders>
                    <w:bottom w:val="single" w:sz="6" w:space="0" w:color="BFBFBF" w:themeColor="background1" w:themeShade="BF"/>
                  </w:tcBorders>
                </w:tcPr>
                <w:p w14:paraId="24CE6F1B" w14:textId="27EB57C4" w:rsidR="00D57CB1" w:rsidRPr="00F231F4" w:rsidRDefault="00D57CB1" w:rsidP="00414467">
                  <w:pPr>
                    <w:pStyle w:val="TableBodyText"/>
                    <w:jc w:val="center"/>
                  </w:pPr>
                </w:p>
              </w:tc>
              <w:tc>
                <w:tcPr>
                  <w:tcW w:w="833" w:type="pct"/>
                  <w:tcBorders>
                    <w:bottom w:val="single" w:sz="6" w:space="0" w:color="BFBFBF" w:themeColor="background1" w:themeShade="BF"/>
                  </w:tcBorders>
                  <w:shd w:val="clear" w:color="auto" w:fill="auto"/>
                </w:tcPr>
                <w:p w14:paraId="1E8926F8" w14:textId="2FE60F72" w:rsidR="00D57CB1" w:rsidRPr="00F231F4" w:rsidRDefault="00D57CB1" w:rsidP="00414467">
                  <w:pPr>
                    <w:pStyle w:val="TableBodyText"/>
                    <w:ind w:right="28"/>
                    <w:jc w:val="center"/>
                  </w:pPr>
                </w:p>
              </w:tc>
              <w:tc>
                <w:tcPr>
                  <w:tcW w:w="833" w:type="pct"/>
                  <w:tcBorders>
                    <w:bottom w:val="single" w:sz="6" w:space="0" w:color="BFBFBF" w:themeColor="background1" w:themeShade="BF"/>
                  </w:tcBorders>
                </w:tcPr>
                <w:p w14:paraId="0EA8A880" w14:textId="7023FE77" w:rsidR="00D57CB1" w:rsidRPr="00F231F4" w:rsidRDefault="00D57CB1" w:rsidP="00414467">
                  <w:pPr>
                    <w:pStyle w:val="TableBodyText"/>
                    <w:ind w:right="28"/>
                    <w:jc w:val="center"/>
                  </w:pPr>
                </w:p>
              </w:tc>
              <w:tc>
                <w:tcPr>
                  <w:tcW w:w="833" w:type="pct"/>
                  <w:tcBorders>
                    <w:bottom w:val="single" w:sz="6" w:space="0" w:color="BFBFBF" w:themeColor="background1" w:themeShade="BF"/>
                  </w:tcBorders>
                </w:tcPr>
                <w:p w14:paraId="7754F703" w14:textId="4CEB0B79" w:rsidR="00D57CB1" w:rsidRPr="00F231F4" w:rsidRDefault="00D57CB1" w:rsidP="00414467">
                  <w:pPr>
                    <w:pStyle w:val="TableBodyText"/>
                    <w:ind w:right="28"/>
                    <w:jc w:val="center"/>
                  </w:pPr>
                </w:p>
              </w:tc>
              <w:tc>
                <w:tcPr>
                  <w:tcW w:w="833" w:type="pct"/>
                  <w:tcBorders>
                    <w:bottom w:val="single" w:sz="6" w:space="0" w:color="BFBFBF" w:themeColor="background1" w:themeShade="BF"/>
                  </w:tcBorders>
                </w:tcPr>
                <w:p w14:paraId="119516FE" w14:textId="07F59DA4" w:rsidR="00D57CB1" w:rsidRPr="00856952" w:rsidRDefault="00D57CB1" w:rsidP="00856952">
                  <w:pPr>
                    <w:pStyle w:val="TableBodyText"/>
                    <w:spacing w:before="80"/>
                    <w:ind w:right="28"/>
                    <w:rPr>
                      <w:szCs w:val="18"/>
                    </w:rPr>
                  </w:pPr>
                  <w:r w:rsidRPr="00F231F4">
                    <w:rPr>
                      <w:szCs w:val="18"/>
                    </w:rPr>
                    <w:t>(continued next page)</w:t>
                  </w:r>
                </w:p>
              </w:tc>
            </w:tr>
          </w:tbl>
          <w:p w14:paraId="059882CD" w14:textId="77777777" w:rsidR="00A40FC1" w:rsidRPr="00C52B8F" w:rsidRDefault="00A40FC1" w:rsidP="00414467">
            <w:pPr>
              <w:pStyle w:val="Box"/>
              <w:jc w:val="right"/>
              <w:rPr>
                <w:sz w:val="18"/>
                <w:szCs w:val="18"/>
              </w:rPr>
            </w:pPr>
          </w:p>
        </w:tc>
      </w:tr>
      <w:tr w:rsidR="00A40FC1" w14:paraId="0F92852F" w14:textId="77777777" w:rsidTr="00D57CB1">
        <w:tc>
          <w:tcPr>
            <w:tcW w:w="5000" w:type="pct"/>
            <w:tcBorders>
              <w:bottom w:val="single" w:sz="4" w:space="0" w:color="78A22F"/>
            </w:tcBorders>
            <w:shd w:val="clear" w:color="auto" w:fill="auto"/>
          </w:tcPr>
          <w:p w14:paraId="11F56E3B" w14:textId="77777777" w:rsidR="00A40FC1" w:rsidRDefault="00A40FC1" w:rsidP="00414467">
            <w:pPr>
              <w:pStyle w:val="Box"/>
              <w:spacing w:before="0" w:line="120" w:lineRule="exact"/>
            </w:pPr>
          </w:p>
        </w:tc>
      </w:tr>
      <w:tr w:rsidR="00A40FC1" w:rsidRPr="000863A5" w14:paraId="018C5C96" w14:textId="77777777" w:rsidTr="00D57CB1">
        <w:tc>
          <w:tcPr>
            <w:tcW w:w="5000" w:type="pct"/>
            <w:tcBorders>
              <w:top w:val="single" w:sz="4" w:space="0" w:color="78A22F"/>
            </w:tcBorders>
            <w:shd w:val="clear" w:color="auto" w:fill="auto"/>
          </w:tcPr>
          <w:p w14:paraId="030C14F3" w14:textId="2FB8CB94" w:rsidR="00A40FC1" w:rsidRPr="00626D32" w:rsidRDefault="00A40FC1" w:rsidP="00414467">
            <w:pPr>
              <w:pStyle w:val="BoxSpaceBelow"/>
            </w:pPr>
          </w:p>
        </w:tc>
      </w:tr>
    </w:tbl>
    <w:p w14:paraId="0AD46B55" w14:textId="5F66B705" w:rsidR="00006601" w:rsidRPr="00550812" w:rsidRDefault="00006601" w:rsidP="00006601">
      <w:pPr>
        <w:pStyle w:val="BoxSpaceAbove"/>
        <w:rPr>
          <w:b/>
          <w:vanish/>
          <w:sz w:val="14"/>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006601" w:rsidRPr="005A4864" w14:paraId="65516A1D" w14:textId="77777777" w:rsidTr="00D57CB1">
        <w:trPr>
          <w:tblHeader/>
        </w:trPr>
        <w:tc>
          <w:tcPr>
            <w:tcW w:w="5000" w:type="pct"/>
            <w:tcBorders>
              <w:top w:val="single" w:sz="6" w:space="0" w:color="78A22F"/>
              <w:left w:val="nil"/>
              <w:bottom w:val="nil"/>
              <w:right w:val="nil"/>
            </w:tcBorders>
            <w:shd w:val="clear" w:color="auto" w:fill="auto"/>
          </w:tcPr>
          <w:p w14:paraId="12266084" w14:textId="7DE39F87" w:rsidR="00006601" w:rsidRPr="005A4864" w:rsidRDefault="00006601" w:rsidP="00A16D87">
            <w:pPr>
              <w:pStyle w:val="TableTitle"/>
              <w:rPr>
                <w:b w:val="0"/>
              </w:rPr>
            </w:pPr>
            <w:r w:rsidRPr="005A4864">
              <w:rPr>
                <w:b w:val="0"/>
              </w:rPr>
              <w:t xml:space="preserve">Table </w:t>
            </w:r>
            <w:r w:rsidR="007B7519" w:rsidRPr="005A4864">
              <w:rPr>
                <w:b w:val="0"/>
              </w:rPr>
              <w:t>1</w:t>
            </w:r>
            <w:r w:rsidR="00A16D87">
              <w:rPr>
                <w:b w:val="0"/>
              </w:rPr>
              <w:t>8</w:t>
            </w:r>
            <w:r w:rsidRPr="005A4864">
              <w:rPr>
                <w:b w:val="0"/>
              </w:rPr>
              <w:t>.2</w:t>
            </w:r>
            <w:r w:rsidRPr="005A4864">
              <w:rPr>
                <w:b w:val="0"/>
              </w:rPr>
              <w:tab/>
            </w:r>
            <w:r w:rsidRPr="005A4864">
              <w:rPr>
                <w:b w:val="0"/>
                <w:sz w:val="18"/>
                <w:szCs w:val="18"/>
              </w:rPr>
              <w:t>(continued)</w:t>
            </w:r>
          </w:p>
        </w:tc>
      </w:tr>
      <w:tr w:rsidR="00006601" w14:paraId="3E6A7EC3" w14:textId="77777777" w:rsidTr="00D57CB1">
        <w:tc>
          <w:tcPr>
            <w:tcW w:w="5000" w:type="pct"/>
            <w:tcBorders>
              <w:top w:val="nil"/>
              <w:left w:val="nil"/>
              <w:bottom w:val="nil"/>
              <w:right w:val="nil"/>
            </w:tcBorders>
            <w:shd w:val="clear" w:color="auto" w:fill="auto"/>
          </w:tcPr>
          <w:tbl>
            <w:tblPr>
              <w:tblW w:w="13325" w:type="dxa"/>
              <w:tblCellMar>
                <w:top w:w="28" w:type="dxa"/>
                <w:left w:w="0" w:type="dxa"/>
                <w:right w:w="0" w:type="dxa"/>
              </w:tblCellMar>
              <w:tblLook w:val="0000" w:firstRow="0" w:lastRow="0" w:firstColumn="0" w:lastColumn="0" w:noHBand="0" w:noVBand="0"/>
            </w:tblPr>
            <w:tblGrid>
              <w:gridCol w:w="2219"/>
              <w:gridCol w:w="2220"/>
              <w:gridCol w:w="2223"/>
              <w:gridCol w:w="2220"/>
              <w:gridCol w:w="2220"/>
              <w:gridCol w:w="2223"/>
            </w:tblGrid>
            <w:tr w:rsidR="00605FE2" w:rsidRPr="009E6F57" w14:paraId="75185AEB" w14:textId="77777777" w:rsidTr="00653281">
              <w:tc>
                <w:tcPr>
                  <w:tcW w:w="833" w:type="pct"/>
                  <w:tcBorders>
                    <w:top w:val="single" w:sz="6" w:space="0" w:color="BFBFBF" w:themeColor="background1" w:themeShade="BF"/>
                    <w:bottom w:val="single" w:sz="6" w:space="0" w:color="BFBFBF" w:themeColor="background1" w:themeShade="BF"/>
                  </w:tcBorders>
                  <w:shd w:val="clear" w:color="auto" w:fill="auto"/>
                </w:tcPr>
                <w:p w14:paraId="525D9047" w14:textId="77777777" w:rsidR="00605FE2" w:rsidRPr="00355FCF" w:rsidRDefault="00605FE2" w:rsidP="00355FCF">
                  <w:pPr>
                    <w:pStyle w:val="TableUnitsRow"/>
                    <w:jc w:val="center"/>
                  </w:pPr>
                </w:p>
              </w:tc>
              <w:tc>
                <w:tcPr>
                  <w:tcW w:w="833" w:type="pct"/>
                  <w:tcBorders>
                    <w:top w:val="single" w:sz="6" w:space="0" w:color="BFBFBF" w:themeColor="background1" w:themeShade="BF"/>
                    <w:bottom w:val="single" w:sz="6" w:space="0" w:color="BFBFBF" w:themeColor="background1" w:themeShade="BF"/>
                  </w:tcBorders>
                </w:tcPr>
                <w:p w14:paraId="6A74C277" w14:textId="038D6A85" w:rsidR="00605FE2" w:rsidRPr="009E6F57" w:rsidRDefault="00605FE2" w:rsidP="00AB1C99">
                  <w:pPr>
                    <w:pStyle w:val="TableUnitsRow"/>
                    <w:jc w:val="center"/>
                    <w:rPr>
                      <w:i/>
                    </w:rPr>
                  </w:pPr>
                  <w:r w:rsidRPr="009E6F57">
                    <w:rPr>
                      <w:i/>
                    </w:rPr>
                    <w:t>NSW</w:t>
                  </w:r>
                  <w:r w:rsidRPr="007747DC">
                    <w:rPr>
                      <w:rStyle w:val="NoteLabel"/>
                    </w:rPr>
                    <w:t>c</w:t>
                  </w:r>
                </w:p>
              </w:tc>
              <w:tc>
                <w:tcPr>
                  <w:tcW w:w="833" w:type="pct"/>
                  <w:tcBorders>
                    <w:top w:val="single" w:sz="6" w:space="0" w:color="BFBFBF" w:themeColor="background1" w:themeShade="BF"/>
                    <w:bottom w:val="single" w:sz="6" w:space="0" w:color="BFBFBF" w:themeColor="background1" w:themeShade="BF"/>
                  </w:tcBorders>
                  <w:shd w:val="clear" w:color="auto" w:fill="auto"/>
                </w:tcPr>
                <w:p w14:paraId="1C5544CC" w14:textId="4E2CE342" w:rsidR="00605FE2" w:rsidRPr="009E6F57" w:rsidRDefault="00605FE2" w:rsidP="00AB1C99">
                  <w:pPr>
                    <w:pStyle w:val="TableUnitsRow"/>
                    <w:jc w:val="center"/>
                    <w:rPr>
                      <w:i/>
                    </w:rPr>
                  </w:pPr>
                  <w:r w:rsidRPr="009E6F57">
                    <w:rPr>
                      <w:i/>
                    </w:rPr>
                    <w:t>Qld</w:t>
                  </w:r>
                  <w:r w:rsidRPr="007747DC">
                    <w:rPr>
                      <w:rStyle w:val="NoteLabel"/>
                    </w:rPr>
                    <w:t>d</w:t>
                  </w:r>
                </w:p>
              </w:tc>
              <w:tc>
                <w:tcPr>
                  <w:tcW w:w="833" w:type="pct"/>
                  <w:tcBorders>
                    <w:top w:val="single" w:sz="6" w:space="0" w:color="BFBFBF" w:themeColor="background1" w:themeShade="BF"/>
                    <w:bottom w:val="single" w:sz="6" w:space="0" w:color="BFBFBF" w:themeColor="background1" w:themeShade="BF"/>
                  </w:tcBorders>
                </w:tcPr>
                <w:p w14:paraId="0E3CF95D" w14:textId="691422F4" w:rsidR="00605FE2" w:rsidRPr="009E6F57" w:rsidRDefault="00605FE2" w:rsidP="00AB1C99">
                  <w:pPr>
                    <w:pStyle w:val="TableUnitsRow"/>
                    <w:jc w:val="center"/>
                    <w:rPr>
                      <w:i/>
                    </w:rPr>
                  </w:pPr>
                  <w:r w:rsidRPr="009E6F57">
                    <w:rPr>
                      <w:i/>
                    </w:rPr>
                    <w:t>SA</w:t>
                  </w:r>
                  <w:r w:rsidRPr="007747DC">
                    <w:rPr>
                      <w:rStyle w:val="NoteLabel"/>
                    </w:rPr>
                    <w:t>e</w:t>
                  </w:r>
                </w:p>
              </w:tc>
              <w:tc>
                <w:tcPr>
                  <w:tcW w:w="833" w:type="pct"/>
                  <w:tcBorders>
                    <w:top w:val="single" w:sz="6" w:space="0" w:color="BFBFBF" w:themeColor="background1" w:themeShade="BF"/>
                    <w:bottom w:val="single" w:sz="6" w:space="0" w:color="BFBFBF" w:themeColor="background1" w:themeShade="BF"/>
                  </w:tcBorders>
                </w:tcPr>
                <w:p w14:paraId="5437218D" w14:textId="231C795E" w:rsidR="00605FE2" w:rsidRPr="009E6F57" w:rsidRDefault="00605FE2" w:rsidP="00AB1C99">
                  <w:pPr>
                    <w:pStyle w:val="TableUnitsRow"/>
                    <w:jc w:val="center"/>
                    <w:rPr>
                      <w:i/>
                    </w:rPr>
                  </w:pPr>
                  <w:r w:rsidRPr="009E6F57">
                    <w:rPr>
                      <w:i/>
                    </w:rPr>
                    <w:t>Tas</w:t>
                  </w:r>
                  <w:r w:rsidRPr="007747DC">
                    <w:rPr>
                      <w:rStyle w:val="NoteLabel"/>
                    </w:rPr>
                    <w:t>f</w:t>
                  </w:r>
                </w:p>
              </w:tc>
              <w:tc>
                <w:tcPr>
                  <w:tcW w:w="833" w:type="pct"/>
                  <w:tcBorders>
                    <w:top w:val="single" w:sz="6" w:space="0" w:color="BFBFBF" w:themeColor="background1" w:themeShade="BF"/>
                    <w:bottom w:val="single" w:sz="6" w:space="0" w:color="BFBFBF" w:themeColor="background1" w:themeShade="BF"/>
                  </w:tcBorders>
                </w:tcPr>
                <w:p w14:paraId="620F03F9" w14:textId="4BC24176" w:rsidR="00605FE2" w:rsidRPr="009E6F57" w:rsidRDefault="00605FE2" w:rsidP="00AB1C99">
                  <w:pPr>
                    <w:pStyle w:val="TableUnitsRow"/>
                    <w:jc w:val="center"/>
                    <w:rPr>
                      <w:i/>
                    </w:rPr>
                  </w:pPr>
                  <w:r w:rsidRPr="009E6F57">
                    <w:rPr>
                      <w:i/>
                    </w:rPr>
                    <w:t>NT</w:t>
                  </w:r>
                  <w:r w:rsidRPr="007747DC">
                    <w:rPr>
                      <w:rStyle w:val="NoteLabel"/>
                    </w:rPr>
                    <w:t>g</w:t>
                  </w:r>
                </w:p>
              </w:tc>
            </w:tr>
            <w:tr w:rsidR="002D78D1" w:rsidRPr="009E6F57" w14:paraId="374611F7" w14:textId="77777777" w:rsidTr="00653281">
              <w:tc>
                <w:tcPr>
                  <w:tcW w:w="833" w:type="pct"/>
                  <w:shd w:val="clear" w:color="auto" w:fill="auto"/>
                </w:tcPr>
                <w:p w14:paraId="4620A7B8" w14:textId="77777777" w:rsidR="00D57CB1" w:rsidRPr="009E6F57" w:rsidRDefault="00D57CB1" w:rsidP="00856952">
                  <w:pPr>
                    <w:pStyle w:val="TableUnitsRow"/>
                    <w:jc w:val="left"/>
                  </w:pPr>
                  <w:r w:rsidRPr="009E6F57">
                    <w:t>Tenancy review</w:t>
                  </w:r>
                  <w:r w:rsidRPr="009E6F57">
                    <w:tab/>
                  </w:r>
                  <w:r w:rsidRPr="009E6F57">
                    <w:tab/>
                  </w:r>
                  <w:r w:rsidRPr="009E6F57">
                    <w:tab/>
                  </w:r>
                </w:p>
              </w:tc>
              <w:tc>
                <w:tcPr>
                  <w:tcW w:w="833" w:type="pct"/>
                </w:tcPr>
                <w:p w14:paraId="6DCF2132" w14:textId="3143CACA" w:rsidR="00D57CB1" w:rsidRPr="009E6F57" w:rsidRDefault="00D57CB1" w:rsidP="002D0D00">
                  <w:pPr>
                    <w:pStyle w:val="TableUnitsRow"/>
                    <w:jc w:val="center"/>
                  </w:pPr>
                  <w:r w:rsidRPr="009E6F57">
                    <w:t>Yes</w:t>
                  </w:r>
                </w:p>
              </w:tc>
              <w:tc>
                <w:tcPr>
                  <w:tcW w:w="833" w:type="pct"/>
                  <w:shd w:val="clear" w:color="auto" w:fill="auto"/>
                </w:tcPr>
                <w:p w14:paraId="3D69E077" w14:textId="77777777" w:rsidR="00D57CB1" w:rsidRPr="009E6F57" w:rsidRDefault="00D57CB1" w:rsidP="002D0D00">
                  <w:pPr>
                    <w:pStyle w:val="TableUnitsRow"/>
                    <w:jc w:val="center"/>
                  </w:pPr>
                  <w:r w:rsidRPr="009E6F57">
                    <w:t>Based on ongoing need and eligibility</w:t>
                  </w:r>
                </w:p>
              </w:tc>
              <w:tc>
                <w:tcPr>
                  <w:tcW w:w="833" w:type="pct"/>
                </w:tcPr>
                <w:p w14:paraId="1172E757" w14:textId="273DA981" w:rsidR="00D57CB1" w:rsidRPr="009E6F57" w:rsidRDefault="00D57CB1" w:rsidP="002D0D00">
                  <w:pPr>
                    <w:pStyle w:val="TableUnitsRow"/>
                    <w:jc w:val="center"/>
                  </w:pPr>
                  <w:r w:rsidRPr="009E6F57">
                    <w:t>Probationary and fixed term leases reviewed prior to end of lease</w:t>
                  </w:r>
                </w:p>
              </w:tc>
              <w:tc>
                <w:tcPr>
                  <w:tcW w:w="833" w:type="pct"/>
                </w:tcPr>
                <w:p w14:paraId="0021B353" w14:textId="02BB6CD2" w:rsidR="00D57CB1" w:rsidRPr="009E6F57" w:rsidRDefault="00D57CB1" w:rsidP="002D0D00">
                  <w:pPr>
                    <w:pStyle w:val="TableUnitsRow"/>
                    <w:jc w:val="center"/>
                  </w:pPr>
                  <w:r w:rsidRPr="009E6F57">
                    <w:t>Annual</w:t>
                  </w:r>
                </w:p>
              </w:tc>
              <w:tc>
                <w:tcPr>
                  <w:tcW w:w="833" w:type="pct"/>
                </w:tcPr>
                <w:p w14:paraId="27E92BE7" w14:textId="5369FAAC" w:rsidR="00D57CB1" w:rsidRPr="009E6F57" w:rsidRDefault="00557A0F" w:rsidP="002D0D00">
                  <w:pPr>
                    <w:pStyle w:val="TableUnitsRow"/>
                    <w:jc w:val="center"/>
                  </w:pPr>
                  <w:r w:rsidRPr="009E6F57">
                    <w:t>Rental rebates are reviewed on a schedule determined by income types</w:t>
                  </w:r>
                </w:p>
              </w:tc>
            </w:tr>
            <w:tr w:rsidR="002D78D1" w:rsidRPr="009E6F57" w14:paraId="55E1E733" w14:textId="77777777" w:rsidTr="00653281">
              <w:tc>
                <w:tcPr>
                  <w:tcW w:w="2500" w:type="pct"/>
                  <w:gridSpan w:val="3"/>
                  <w:shd w:val="clear" w:color="auto" w:fill="auto"/>
                </w:tcPr>
                <w:p w14:paraId="79806794" w14:textId="7B0AFD4A" w:rsidR="002D78D1" w:rsidRPr="009E6F57" w:rsidRDefault="002D78D1" w:rsidP="00F4536F">
                  <w:pPr>
                    <w:pStyle w:val="TableBodyText"/>
                    <w:ind w:right="28"/>
                    <w:jc w:val="left"/>
                  </w:pPr>
                  <w:r w:rsidRPr="009E6F57">
                    <w:rPr>
                      <w:b/>
                    </w:rPr>
                    <w:t>Rebated rent setting: r</w:t>
                  </w:r>
                  <w:r w:rsidRPr="009E6F57">
                    <w:t>ent</w:t>
                  </w:r>
                  <w:r w:rsidR="00C47BFD" w:rsidRPr="009E6F57">
                    <w:noBreakHyphen/>
                  </w:r>
                  <w:r w:rsidRPr="009E6F57">
                    <w:t>to</w:t>
                  </w:r>
                  <w:r w:rsidR="00C47BFD" w:rsidRPr="009E6F57">
                    <w:noBreakHyphen/>
                  </w:r>
                  <w:r w:rsidRPr="009E6F57">
                    <w:t>income ratio (%)</w:t>
                  </w:r>
                </w:p>
              </w:tc>
              <w:tc>
                <w:tcPr>
                  <w:tcW w:w="833" w:type="pct"/>
                </w:tcPr>
                <w:p w14:paraId="4E129AC4" w14:textId="77777777" w:rsidR="002D78D1" w:rsidRPr="009E6F57" w:rsidRDefault="002D78D1" w:rsidP="002D0D00">
                  <w:pPr>
                    <w:pStyle w:val="TableBodyText"/>
                    <w:ind w:right="28"/>
                    <w:jc w:val="center"/>
                  </w:pPr>
                </w:p>
              </w:tc>
              <w:tc>
                <w:tcPr>
                  <w:tcW w:w="833" w:type="pct"/>
                </w:tcPr>
                <w:p w14:paraId="3AC830BD" w14:textId="77777777" w:rsidR="002D78D1" w:rsidRPr="009E6F57" w:rsidRDefault="002D78D1" w:rsidP="002D0D00">
                  <w:pPr>
                    <w:pStyle w:val="TableBodyText"/>
                    <w:ind w:right="28"/>
                    <w:jc w:val="center"/>
                  </w:pPr>
                </w:p>
              </w:tc>
              <w:tc>
                <w:tcPr>
                  <w:tcW w:w="833" w:type="pct"/>
                </w:tcPr>
                <w:p w14:paraId="2D028CD7" w14:textId="77777777" w:rsidR="002D78D1" w:rsidRPr="009E6F57" w:rsidRDefault="002D78D1" w:rsidP="002D0D00">
                  <w:pPr>
                    <w:pStyle w:val="TableBodyText"/>
                    <w:ind w:right="28"/>
                    <w:jc w:val="center"/>
                  </w:pPr>
                </w:p>
              </w:tc>
            </w:tr>
            <w:tr w:rsidR="002D78D1" w:rsidRPr="009E6F57" w14:paraId="7563952D" w14:textId="77777777" w:rsidTr="00653281">
              <w:tc>
                <w:tcPr>
                  <w:tcW w:w="833" w:type="pct"/>
                  <w:tcBorders>
                    <w:bottom w:val="single" w:sz="6" w:space="0" w:color="BFBFBF" w:themeColor="background1" w:themeShade="BF"/>
                  </w:tcBorders>
                  <w:shd w:val="clear" w:color="auto" w:fill="auto"/>
                </w:tcPr>
                <w:p w14:paraId="566F7A39" w14:textId="77777777" w:rsidR="00D57CB1" w:rsidRPr="009E6F57" w:rsidRDefault="00D57CB1" w:rsidP="00856952">
                  <w:pPr>
                    <w:pStyle w:val="TableUnitsRow"/>
                    <w:jc w:val="left"/>
                  </w:pPr>
                </w:p>
              </w:tc>
              <w:tc>
                <w:tcPr>
                  <w:tcW w:w="833" w:type="pct"/>
                  <w:tcBorders>
                    <w:bottom w:val="single" w:sz="6" w:space="0" w:color="BFBFBF" w:themeColor="background1" w:themeShade="BF"/>
                  </w:tcBorders>
                </w:tcPr>
                <w:p w14:paraId="0DB0CFBA" w14:textId="237372B6" w:rsidR="00D57CB1" w:rsidRPr="009E6F57" w:rsidRDefault="00D57CB1" w:rsidP="002D0D00">
                  <w:pPr>
                    <w:pStyle w:val="TableUnitsRow"/>
                    <w:jc w:val="center"/>
                  </w:pPr>
                  <w:r w:rsidRPr="009E6F57">
                    <w:t>25–30</w:t>
                  </w:r>
                </w:p>
              </w:tc>
              <w:tc>
                <w:tcPr>
                  <w:tcW w:w="833" w:type="pct"/>
                  <w:tcBorders>
                    <w:bottom w:val="single" w:sz="6" w:space="0" w:color="BFBFBF" w:themeColor="background1" w:themeShade="BF"/>
                  </w:tcBorders>
                  <w:shd w:val="clear" w:color="auto" w:fill="auto"/>
                </w:tcPr>
                <w:p w14:paraId="531DBF14" w14:textId="1F046385" w:rsidR="00D57CB1" w:rsidRPr="009E6F57" w:rsidRDefault="00D57CB1" w:rsidP="002D0D00">
                  <w:pPr>
                    <w:pStyle w:val="TableUnitsRow"/>
                    <w:jc w:val="center"/>
                  </w:pPr>
                  <w:r w:rsidRPr="009E6F57">
                    <w:t>25</w:t>
                  </w:r>
                </w:p>
              </w:tc>
              <w:tc>
                <w:tcPr>
                  <w:tcW w:w="833" w:type="pct"/>
                  <w:tcBorders>
                    <w:bottom w:val="single" w:sz="6" w:space="0" w:color="BFBFBF" w:themeColor="background1" w:themeShade="BF"/>
                  </w:tcBorders>
                </w:tcPr>
                <w:p w14:paraId="3738380F" w14:textId="066AB006" w:rsidR="00D57CB1" w:rsidRPr="009E6F57" w:rsidRDefault="00D57CB1" w:rsidP="002D0D00">
                  <w:pPr>
                    <w:pStyle w:val="TableUnitsRow"/>
                    <w:jc w:val="center"/>
                  </w:pPr>
                  <w:r w:rsidRPr="009E6F57">
                    <w:t>na</w:t>
                  </w:r>
                </w:p>
              </w:tc>
              <w:tc>
                <w:tcPr>
                  <w:tcW w:w="833" w:type="pct"/>
                  <w:tcBorders>
                    <w:bottom w:val="single" w:sz="6" w:space="0" w:color="BFBFBF" w:themeColor="background1" w:themeShade="BF"/>
                  </w:tcBorders>
                </w:tcPr>
                <w:p w14:paraId="02CB7078" w14:textId="45EF8D54" w:rsidR="00D57CB1" w:rsidRPr="009E6F57" w:rsidRDefault="00D57CB1" w:rsidP="002D0D00">
                  <w:pPr>
                    <w:pStyle w:val="TableUnitsRow"/>
                    <w:jc w:val="center"/>
                  </w:pPr>
                  <w:r w:rsidRPr="009E6F57">
                    <w:t>25</w:t>
                  </w:r>
                </w:p>
              </w:tc>
              <w:tc>
                <w:tcPr>
                  <w:tcW w:w="833" w:type="pct"/>
                  <w:tcBorders>
                    <w:bottom w:val="single" w:sz="6" w:space="0" w:color="BFBFBF" w:themeColor="background1" w:themeShade="BF"/>
                  </w:tcBorders>
                </w:tcPr>
                <w:p w14:paraId="51A656FA" w14:textId="120D9D5F" w:rsidR="00D57CB1" w:rsidRPr="009E6F57" w:rsidRDefault="00D57CB1" w:rsidP="002D0D00">
                  <w:pPr>
                    <w:pStyle w:val="TableUnitsRow"/>
                    <w:jc w:val="center"/>
                  </w:pPr>
                  <w:r w:rsidRPr="009E6F57">
                    <w:t>23 (maximum)</w:t>
                  </w:r>
                </w:p>
              </w:tc>
            </w:tr>
            <w:tr w:rsidR="00F4536F" w14:paraId="40563266" w14:textId="77777777" w:rsidTr="00653281">
              <w:tc>
                <w:tcPr>
                  <w:tcW w:w="5000" w:type="pct"/>
                  <w:gridSpan w:val="6"/>
                  <w:tcBorders>
                    <w:top w:val="single" w:sz="6" w:space="0" w:color="BFBFBF" w:themeColor="background1" w:themeShade="BF"/>
                  </w:tcBorders>
                  <w:shd w:val="clear" w:color="auto" w:fill="auto"/>
                </w:tcPr>
                <w:p w14:paraId="50FACB4D" w14:textId="4E96C51D" w:rsidR="00F4536F" w:rsidRPr="00C52B8F" w:rsidRDefault="00F4536F" w:rsidP="00895E10">
                  <w:pPr>
                    <w:pStyle w:val="TableBodyText"/>
                    <w:spacing w:before="80"/>
                    <w:ind w:right="28"/>
                    <w:jc w:val="both"/>
                    <w:rPr>
                      <w:szCs w:val="18"/>
                    </w:rPr>
                  </w:pPr>
                  <w:r w:rsidRPr="009E6F57">
                    <w:rPr>
                      <w:rStyle w:val="NoteLabel"/>
                    </w:rPr>
                    <w:t>a</w:t>
                  </w:r>
                  <w:r w:rsidRPr="009E6F57">
                    <w:t xml:space="preserve"> </w:t>
                  </w:r>
                  <w:r w:rsidRPr="009E6F57">
                    <w:rPr>
                      <w:b/>
                      <w:szCs w:val="18"/>
                    </w:rPr>
                    <w:t xml:space="preserve">na </w:t>
                  </w:r>
                  <w:r w:rsidRPr="009E6F57">
                    <w:rPr>
                      <w:szCs w:val="18"/>
                    </w:rPr>
                    <w:t xml:space="preserve">Not available. </w:t>
                  </w:r>
                  <w:r w:rsidRPr="009E6F57">
                    <w:rPr>
                      <w:rStyle w:val="NoteLabel"/>
                    </w:rPr>
                    <w:t xml:space="preserve">b </w:t>
                  </w:r>
                  <w:r w:rsidRPr="009E6F57">
                    <w:rPr>
                      <w:szCs w:val="18"/>
                    </w:rPr>
                    <w:t xml:space="preserve">.. Not applicable. </w:t>
                  </w:r>
                  <w:r w:rsidRPr="009E6F57">
                    <w:rPr>
                      <w:rStyle w:val="NoteLabel"/>
                    </w:rPr>
                    <w:t>c</w:t>
                  </w:r>
                  <w:r w:rsidRPr="009E6F57">
                    <w:t xml:space="preserve"> </w:t>
                  </w:r>
                  <w:r w:rsidR="00F960D2" w:rsidRPr="009E6F57">
                    <w:t>In</w:t>
                  </w:r>
                  <w:r w:rsidRPr="009E6F57">
                    <w:t>come limit: Limit is gross amount for a single adult. The first $5000 of savings and financial assets is exempt from assessment. Interest on amounts above $5000 is assessed and this rate is aligned to the Centrelink deeming rate. An asset of a property that provides a viable alternative to social housing and income derived from property ownership is assessed. Minimum age: Applicants under 18</w:t>
                  </w:r>
                  <w:r w:rsidR="00350ED8">
                    <w:t> </w:t>
                  </w:r>
                  <w:r w:rsidRPr="009E6F57">
                    <w:t>years of age may be assessed for assistance when they meet general eligibility criteria, have an income, social housing is the best way to meet their housing needs and the provider is satisfied they are able to meet tenancy obligations. Waiting list: Generally, clients are housed in the following order: emergency temporary accommodation, priority housing, transfer on a priority basis or relocation for management purposes, elderly clients 80</w:t>
                  </w:r>
                  <w:r w:rsidR="00350ED8">
                    <w:t> </w:t>
                  </w:r>
                  <w:r w:rsidRPr="009E6F57">
                    <w:t>years and over or 55</w:t>
                  </w:r>
                  <w:r w:rsidR="00350ED8">
                    <w:t> </w:t>
                  </w:r>
                  <w:r w:rsidRPr="009E6F57">
                    <w:t>years and over for clients of Aboriginal and Torres Strait Islander descent, wait turn housing and wait turn transfer. Tenure: three</w:t>
                  </w:r>
                  <w:r w:rsidR="00895E10">
                    <w:noBreakHyphen/>
                  </w:r>
                  <w:r w:rsidRPr="009E6F57">
                    <w:t>month leases are for clients offered emergency temporary accommodation. Six</w:t>
                  </w:r>
                  <w:r w:rsidR="00895E10">
                    <w:noBreakHyphen/>
                  </w:r>
                  <w:r w:rsidRPr="009E6F57">
                    <w:t>month leases are for clients who are considered unsatisfactory or less than satisfactory former tenants. Six</w:t>
                  </w:r>
                  <w:r w:rsidR="00895E10">
                    <w:noBreakHyphen/>
                  </w:r>
                  <w:r w:rsidRPr="009E6F57">
                    <w:t>month provisional leases are for clients who are applying for Recognition as a Tenant. Continuous leases apply to tenants housed before 1</w:t>
                  </w:r>
                  <w:r w:rsidR="00350ED8">
                    <w:t> </w:t>
                  </w:r>
                  <w:r w:rsidRPr="009E6F57">
                    <w:t>July</w:t>
                  </w:r>
                  <w:r w:rsidR="00350ED8">
                    <w:t> </w:t>
                  </w:r>
                  <w:r w:rsidRPr="009E6F57">
                    <w:t>2005 who have lived continuously in a property owned or managed by Housing NSW since being housed. Tenancy review criteria: Ownership or part</w:t>
                  </w:r>
                  <w:r w:rsidR="00C47BFD" w:rsidRPr="009E6F57">
                    <w:noBreakHyphen/>
                  </w:r>
                  <w:r w:rsidRPr="009E6F57">
                    <w:t xml:space="preserve">ownership of property that could provide a viable housing alternative; Household income level; Disability, medical </w:t>
                  </w:r>
                  <w:proofErr w:type="gramStart"/>
                  <w:r w:rsidRPr="009E6F57">
                    <w:t>condition</w:t>
                  </w:r>
                  <w:proofErr w:type="gramEnd"/>
                  <w:r w:rsidRPr="009E6F57">
                    <w:t xml:space="preserve"> or permanent injury; </w:t>
                  </w:r>
                  <w:r w:rsidRPr="00350ED8">
                    <w:t>Three</w:t>
                  </w:r>
                  <w:r w:rsidR="00350ED8">
                    <w:t> </w:t>
                  </w:r>
                  <w:r w:rsidRPr="00350ED8">
                    <w:t>month</w:t>
                  </w:r>
                  <w:r w:rsidRPr="009E6F57">
                    <w:t>: the need for continuing emergency temporary accommodation; Six</w:t>
                  </w:r>
                  <w:r w:rsidR="000B5AFE">
                    <w:t> </w:t>
                  </w:r>
                  <w:r w:rsidRPr="009E6F57">
                    <w:t>month: repayment or demonstrated commitment to repayment of outstanding debt; demonstrated ability to sustain a successful tenancy. Rent to Income Ratio: Subsidised rent is calculated according to the tenant</w:t>
                  </w:r>
                  <w:r w:rsidR="00C47BFD" w:rsidRPr="009E6F57">
                    <w:t>’</w:t>
                  </w:r>
                  <w:r w:rsidRPr="009E6F57">
                    <w:t xml:space="preserve">s household size, </w:t>
                  </w:r>
                  <w:proofErr w:type="gramStart"/>
                  <w:r w:rsidRPr="009E6F57">
                    <w:t>type</w:t>
                  </w:r>
                  <w:proofErr w:type="gramEnd"/>
                  <w:r w:rsidRPr="009E6F57">
                    <w:t xml:space="preserve"> and gross assessable income. From 6</w:t>
                  </w:r>
                  <w:r w:rsidR="00350ED8">
                    <w:t> </w:t>
                  </w:r>
                  <w:r w:rsidRPr="009E6F57">
                    <w:t>July</w:t>
                  </w:r>
                  <w:r w:rsidR="00350ED8">
                    <w:t> </w:t>
                  </w:r>
                  <w:r w:rsidRPr="009E6F57">
                    <w:t xml:space="preserve">2009 the AHO rent calculations include the full amount of CRA for eligible AHO households. </w:t>
                  </w:r>
                  <w:r w:rsidRPr="00CC08AB">
                    <w:rPr>
                      <w:rStyle w:val="NoteLabel"/>
                    </w:rPr>
                    <w:t>d</w:t>
                  </w:r>
                  <w:r w:rsidRPr="009E6F57">
                    <w:t xml:space="preserve"> Six</w:t>
                  </w:r>
                  <w:r w:rsidR="00895E10">
                    <w:noBreakHyphen/>
                  </w:r>
                  <w:r w:rsidRPr="009E6F57">
                    <w:t xml:space="preserve">month periodic tenancies are applied to applicants housed under the housing </w:t>
                  </w:r>
                  <w:r w:rsidR="00F1203E" w:rsidRPr="009E6F57">
                    <w:t>i</w:t>
                  </w:r>
                  <w:r w:rsidRPr="009E6F57">
                    <w:t>neligible applicant policy and applicants housed under the Resource Communities eligibility policy.</w:t>
                  </w:r>
                  <w:r w:rsidR="00582D09" w:rsidRPr="009E6F57">
                    <w:t xml:space="preserve"> Tenancy review policies include high income of the tenant and their spouse and property ownership (including part</w:t>
                  </w:r>
                  <w:r w:rsidR="00CC08AB">
                    <w:noBreakHyphen/>
                  </w:r>
                  <w:r w:rsidR="00582D09" w:rsidRPr="009E6F57">
                    <w:t>ownership) of any type of property by any household member and demonstrating a continued need for the reviewable property a household resides in i.e. properties with 5</w:t>
                  </w:r>
                  <w:r w:rsidR="00CC08AB">
                    <w:t> </w:t>
                  </w:r>
                  <w:r w:rsidR="00582D09" w:rsidRPr="009E6F57">
                    <w:t>or more bedrooms or which is fully wheelchair accessible.</w:t>
                  </w:r>
                  <w:r w:rsidRPr="009E6F57">
                    <w:t xml:space="preserve"> </w:t>
                  </w:r>
                  <w:r w:rsidRPr="00CC08AB">
                    <w:rPr>
                      <w:rStyle w:val="NoteLabel"/>
                    </w:rPr>
                    <w:t>e</w:t>
                  </w:r>
                  <w:r w:rsidR="00350ED8">
                    <w:rPr>
                      <w:b/>
                      <w:sz w:val="16"/>
                    </w:rPr>
                    <w:t> </w:t>
                  </w:r>
                  <w:r w:rsidRPr="00350ED8">
                    <w:rPr>
                      <w:sz w:val="16"/>
                    </w:rPr>
                    <w:t>Income</w:t>
                  </w:r>
                  <w:r w:rsidRPr="009E6F57">
                    <w:t xml:space="preserve"> limits </w:t>
                  </w:r>
                  <w:r w:rsidR="00384F0E" w:rsidRPr="009E6F57">
                    <w:t>—</w:t>
                  </w:r>
                  <w:r w:rsidRPr="009E6F57">
                    <w:t xml:space="preserve"> updated regularly consistent with changes to SA Average Weekly Earnings data published by the ABS. Asset limits </w:t>
                  </w:r>
                  <w:r w:rsidR="00384F0E" w:rsidRPr="009E6F57">
                    <w:t>—</w:t>
                  </w:r>
                  <w:r w:rsidRPr="009E6F57">
                    <w:t xml:space="preserve"> updated regularly consistent with changes to Centrelink asset limits (non</w:t>
                  </w:r>
                  <w:r w:rsidR="005608CF" w:rsidRPr="009E6F57">
                    <w:noBreakHyphen/>
                  </w:r>
                  <w:r w:rsidRPr="009E6F57">
                    <w:t>home</w:t>
                  </w:r>
                  <w:r w:rsidR="00895E10">
                    <w:noBreakHyphen/>
                  </w:r>
                  <w:r w:rsidRPr="009E6F57">
                    <w:t>owners), published by the DSS.</w:t>
                  </w:r>
                  <w:r w:rsidR="005608CF" w:rsidRPr="009E6F57">
                    <w:t xml:space="preserve"> Fixed term leases implemented for all new tenants housed from 1</w:t>
                  </w:r>
                  <w:r w:rsidR="00CC08AB">
                    <w:t> </w:t>
                  </w:r>
                  <w:r w:rsidR="005608CF" w:rsidRPr="009E6F57">
                    <w:t>October</w:t>
                  </w:r>
                  <w:r w:rsidR="00CC08AB">
                    <w:t> </w:t>
                  </w:r>
                  <w:r w:rsidR="005608CF" w:rsidRPr="009E6F57">
                    <w:t xml:space="preserve">2010. </w:t>
                  </w:r>
                  <w:r w:rsidR="00384F0E" w:rsidRPr="009E6F57">
                    <w:t>L</w:t>
                  </w:r>
                  <w:r w:rsidR="005608CF" w:rsidRPr="009E6F57">
                    <w:t>ength of lease is determined bas</w:t>
                  </w:r>
                  <w:r w:rsidR="00384F0E" w:rsidRPr="009E6F57">
                    <w:t>ed on</w:t>
                  </w:r>
                  <w:r w:rsidR="005608CF" w:rsidRPr="009E6F57">
                    <w:t xml:space="preserve"> compliance with conditions of tenancy and household circumstances.</w:t>
                  </w:r>
                  <w:r w:rsidRPr="009E6F57">
                    <w:t xml:space="preserve"> </w:t>
                  </w:r>
                  <w:r w:rsidRPr="00CC08AB">
                    <w:rPr>
                      <w:rStyle w:val="NoteLabel"/>
                    </w:rPr>
                    <w:t>f</w:t>
                  </w:r>
                  <w:r w:rsidRPr="009E6F57">
                    <w:t xml:space="preserve"> Income limits </w:t>
                  </w:r>
                  <w:r w:rsidR="00384F0E" w:rsidRPr="009E6F57">
                    <w:t>—</w:t>
                  </w:r>
                  <w:r w:rsidRPr="009E6F57">
                    <w:t xml:space="preserve"> updated regularly consistent with changes to Low Income Health Care Card eligibility. </w:t>
                  </w:r>
                  <w:r w:rsidRPr="00CC08AB">
                    <w:rPr>
                      <w:rStyle w:val="NoteLabel"/>
                    </w:rPr>
                    <w:t>g</w:t>
                  </w:r>
                  <w:r w:rsidR="00384F0E" w:rsidRPr="009E6F57">
                    <w:rPr>
                      <w:b/>
                    </w:rPr>
                    <w:t> </w:t>
                  </w:r>
                  <w:r w:rsidRPr="009E6F57">
                    <w:t>From 2016</w:t>
                  </w:r>
                  <w:r w:rsidR="00C47BFD" w:rsidRPr="009E6F57">
                    <w:noBreakHyphen/>
                  </w:r>
                  <w:r w:rsidRPr="009E6F57">
                    <w:t>17, selected data for remote social housing dwellings are submitted for the SOMIH data collection.</w:t>
                  </w:r>
                  <w:r w:rsidR="00384F0E" w:rsidRPr="009E6F57">
                    <w:t xml:space="preserve"> In Remote Communities, Town Camps and community living areas, dwelling allocation is according to recommendations from each local community Housing Reference Group, which identifies and assesses the level of need of people waiting for housing. Eligibility considerations </w:t>
                  </w:r>
                  <w:r w:rsidR="000B5AFE">
                    <w:rPr>
                      <w:rFonts w:cs="Arial"/>
                    </w:rPr>
                    <w:t>—</w:t>
                  </w:r>
                  <w:r w:rsidR="00384F0E" w:rsidRPr="009E6F57">
                    <w:t xml:space="preserve"> based on standard criteria and whether applicant is or will be accepted as a permanent community resident.</w:t>
                  </w:r>
                </w:p>
              </w:tc>
            </w:tr>
          </w:tbl>
          <w:p w14:paraId="5A3856E5" w14:textId="77777777" w:rsidR="00006601" w:rsidRDefault="00006601" w:rsidP="00414467">
            <w:pPr>
              <w:pStyle w:val="Box"/>
            </w:pPr>
          </w:p>
        </w:tc>
      </w:tr>
      <w:tr w:rsidR="00653281" w14:paraId="4D830D31" w14:textId="77777777" w:rsidTr="00EE325B">
        <w:tc>
          <w:tcPr>
            <w:tcW w:w="5000" w:type="pct"/>
            <w:tcBorders>
              <w:top w:val="nil"/>
              <w:left w:val="nil"/>
              <w:bottom w:val="nil"/>
              <w:right w:val="nil"/>
            </w:tcBorders>
            <w:shd w:val="clear" w:color="auto" w:fill="auto"/>
          </w:tcPr>
          <w:p w14:paraId="65E99842" w14:textId="22B0C5CA" w:rsidR="00653281" w:rsidRPr="00EE325B" w:rsidRDefault="00653281" w:rsidP="00EE325B">
            <w:pPr>
              <w:pStyle w:val="Box"/>
              <w:spacing w:before="80" w:line="220" w:lineRule="exact"/>
              <w:rPr>
                <w:sz w:val="18"/>
                <w:szCs w:val="18"/>
              </w:rPr>
            </w:pPr>
            <w:r w:rsidRPr="00EE325B">
              <w:rPr>
                <w:i/>
                <w:sz w:val="18"/>
                <w:szCs w:val="18"/>
              </w:rPr>
              <w:t>Source</w:t>
            </w:r>
            <w:r w:rsidRPr="00EE325B">
              <w:rPr>
                <w:sz w:val="18"/>
                <w:szCs w:val="18"/>
              </w:rPr>
              <w:t>: State and Territory governments (unpublished).</w:t>
            </w:r>
          </w:p>
        </w:tc>
      </w:tr>
      <w:tr w:rsidR="00006601" w14:paraId="57A7E072" w14:textId="77777777" w:rsidTr="00EE325B">
        <w:tc>
          <w:tcPr>
            <w:tcW w:w="5000" w:type="pct"/>
            <w:tcBorders>
              <w:top w:val="nil"/>
              <w:left w:val="nil"/>
              <w:bottom w:val="single" w:sz="6" w:space="0" w:color="78A22F"/>
              <w:right w:val="nil"/>
            </w:tcBorders>
            <w:shd w:val="clear" w:color="auto" w:fill="auto"/>
          </w:tcPr>
          <w:p w14:paraId="168DC414" w14:textId="77777777" w:rsidR="00006601" w:rsidRDefault="00006601" w:rsidP="00414467">
            <w:pPr>
              <w:pStyle w:val="Box"/>
              <w:spacing w:before="0" w:line="120" w:lineRule="exact"/>
            </w:pPr>
          </w:p>
        </w:tc>
      </w:tr>
      <w:tr w:rsidR="00EE325B" w14:paraId="56946EAA" w14:textId="77777777" w:rsidTr="00EE325B">
        <w:tc>
          <w:tcPr>
            <w:tcW w:w="5000" w:type="pct"/>
            <w:tcBorders>
              <w:top w:val="single" w:sz="6" w:space="0" w:color="78A22F"/>
              <w:left w:val="nil"/>
              <w:bottom w:val="nil"/>
              <w:right w:val="nil"/>
            </w:tcBorders>
            <w:shd w:val="clear" w:color="auto" w:fill="auto"/>
          </w:tcPr>
          <w:p w14:paraId="090D1968" w14:textId="77777777" w:rsidR="00EE325B" w:rsidRDefault="00EE325B" w:rsidP="00414467">
            <w:pPr>
              <w:pStyle w:val="Box"/>
              <w:spacing w:before="0" w:line="120" w:lineRule="exact"/>
            </w:pPr>
          </w:p>
        </w:tc>
      </w:tr>
    </w:tbl>
    <w:p w14:paraId="0806A576" w14:textId="028814E2" w:rsidR="00F1203E" w:rsidRDefault="00F1203E" w:rsidP="00F1203E">
      <w:pPr>
        <w:pStyle w:val="BoxSpaceAbove"/>
        <w:keepLines/>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F1203E" w14:paraId="481144A2" w14:textId="77777777" w:rsidTr="00414467">
        <w:trPr>
          <w:tblHeader/>
        </w:trPr>
        <w:tc>
          <w:tcPr>
            <w:tcW w:w="5000" w:type="pct"/>
            <w:shd w:val="clear" w:color="auto" w:fill="auto"/>
          </w:tcPr>
          <w:p w14:paraId="020655AB" w14:textId="7625A0B2" w:rsidR="00F1203E" w:rsidRPr="00784A05" w:rsidRDefault="00F1203E" w:rsidP="007A428D">
            <w:pPr>
              <w:pStyle w:val="TableTitle"/>
            </w:pPr>
            <w:r>
              <w:rPr>
                <w:b w:val="0"/>
              </w:rPr>
              <w:t>Table 1</w:t>
            </w:r>
            <w:r w:rsidR="00A16D87">
              <w:rPr>
                <w:b w:val="0"/>
              </w:rPr>
              <w:t>8</w:t>
            </w:r>
            <w:r w:rsidR="006D2614">
              <w:rPr>
                <w:b w:val="0"/>
              </w:rPr>
              <w:t>.</w:t>
            </w:r>
            <w:r>
              <w:rPr>
                <w:b w:val="0"/>
              </w:rPr>
              <w:t>3</w:t>
            </w:r>
            <w:r>
              <w:tab/>
              <w:t>Community</w:t>
            </w:r>
            <w:r w:rsidRPr="00EB1216">
              <w:t xml:space="preserve"> h</w:t>
            </w:r>
            <w:r>
              <w:t>ousing policy context, 20</w:t>
            </w:r>
            <w:r w:rsidR="007A428D">
              <w:t>20</w:t>
            </w:r>
            <w:r w:rsidR="005901DD">
              <w:rPr>
                <w:rStyle w:val="NoteLabel"/>
                <w:b/>
              </w:rPr>
              <w:t>a</w:t>
            </w:r>
            <w:r w:rsidRPr="00EB1216">
              <w:tab/>
            </w:r>
            <w:r w:rsidRPr="00EB1216">
              <w:tab/>
            </w:r>
            <w:r w:rsidRPr="00EB1216">
              <w:tab/>
            </w:r>
            <w:r w:rsidRPr="00EB1216">
              <w:tab/>
            </w:r>
            <w:r w:rsidRPr="00EB1216">
              <w:tab/>
            </w:r>
            <w:r w:rsidRPr="00EB1216">
              <w:tab/>
            </w:r>
          </w:p>
        </w:tc>
      </w:tr>
      <w:tr w:rsidR="00F1203E" w14:paraId="24A89633" w14:textId="77777777" w:rsidTr="00414467">
        <w:tc>
          <w:tcPr>
            <w:tcW w:w="5000" w:type="pct"/>
            <w:shd w:val="clear" w:color="auto" w:fill="auto"/>
          </w:tcPr>
          <w:tbl>
            <w:tblPr>
              <w:tblW w:w="13322" w:type="dxa"/>
              <w:tblCellMar>
                <w:top w:w="28" w:type="dxa"/>
                <w:left w:w="0" w:type="dxa"/>
                <w:right w:w="0" w:type="dxa"/>
              </w:tblCellMar>
              <w:tblLook w:val="0000" w:firstRow="0" w:lastRow="0" w:firstColumn="0" w:lastColumn="0" w:noHBand="0" w:noVBand="0"/>
            </w:tblPr>
            <w:tblGrid>
              <w:gridCol w:w="920"/>
              <w:gridCol w:w="1169"/>
              <w:gridCol w:w="1603"/>
              <w:gridCol w:w="1604"/>
              <w:gridCol w:w="1604"/>
              <w:gridCol w:w="1607"/>
              <w:gridCol w:w="1607"/>
              <w:gridCol w:w="1607"/>
              <w:gridCol w:w="1601"/>
            </w:tblGrid>
            <w:tr w:rsidR="00605FE2" w:rsidRPr="009E6F57" w14:paraId="56CB13D6" w14:textId="77777777" w:rsidTr="00605FE2">
              <w:trPr>
                <w:trHeight w:val="276"/>
                <w:tblHeader/>
              </w:trPr>
              <w:tc>
                <w:tcPr>
                  <w:tcW w:w="345" w:type="pct"/>
                  <w:tcBorders>
                    <w:top w:val="single" w:sz="6" w:space="0" w:color="BFBFBF"/>
                    <w:bottom w:val="single" w:sz="6" w:space="0" w:color="BFBFBF"/>
                  </w:tcBorders>
                  <w:shd w:val="clear" w:color="auto" w:fill="auto"/>
                  <w:tcMar>
                    <w:top w:w="28" w:type="dxa"/>
                  </w:tcMar>
                </w:tcPr>
                <w:p w14:paraId="5982C794" w14:textId="77777777" w:rsidR="00605FE2" w:rsidRDefault="00605FE2" w:rsidP="00605FE2">
                  <w:pPr>
                    <w:pStyle w:val="TableColumnHeading"/>
                    <w:jc w:val="left"/>
                  </w:pPr>
                </w:p>
              </w:tc>
              <w:tc>
                <w:tcPr>
                  <w:tcW w:w="439" w:type="pct"/>
                  <w:tcBorders>
                    <w:top w:val="single" w:sz="6" w:space="0" w:color="BFBFBF"/>
                    <w:bottom w:val="single" w:sz="6" w:space="0" w:color="BFBFBF"/>
                  </w:tcBorders>
                </w:tcPr>
                <w:p w14:paraId="092F699C" w14:textId="2D72FEF2" w:rsidR="00605FE2" w:rsidRPr="009E6F57" w:rsidRDefault="00605FE2" w:rsidP="00206AEC">
                  <w:pPr>
                    <w:pStyle w:val="TableColumnHeading"/>
                    <w:jc w:val="center"/>
                  </w:pPr>
                  <w:r w:rsidRPr="009E6F57">
                    <w:t>NSW</w:t>
                  </w:r>
                  <w:r w:rsidR="00206AEC">
                    <w:rPr>
                      <w:rStyle w:val="NoteLabel"/>
                      <w:i w:val="0"/>
                    </w:rPr>
                    <w:t>b</w:t>
                  </w:r>
                </w:p>
              </w:tc>
              <w:tc>
                <w:tcPr>
                  <w:tcW w:w="602" w:type="pct"/>
                  <w:tcBorders>
                    <w:top w:val="single" w:sz="6" w:space="0" w:color="BFBFBF"/>
                    <w:bottom w:val="single" w:sz="6" w:space="0" w:color="BFBFBF"/>
                  </w:tcBorders>
                  <w:shd w:val="clear" w:color="auto" w:fill="auto"/>
                  <w:tcMar>
                    <w:top w:w="28" w:type="dxa"/>
                  </w:tcMar>
                </w:tcPr>
                <w:p w14:paraId="7AF34E46" w14:textId="34237F68" w:rsidR="00605FE2" w:rsidRPr="009E6F57" w:rsidRDefault="00605FE2" w:rsidP="00206AEC">
                  <w:pPr>
                    <w:pStyle w:val="TableColumnHeading"/>
                    <w:jc w:val="center"/>
                  </w:pPr>
                  <w:r w:rsidRPr="009E6F57">
                    <w:t>Vic</w:t>
                  </w:r>
                  <w:r w:rsidR="00206AEC">
                    <w:rPr>
                      <w:rStyle w:val="NoteLabel"/>
                      <w:i w:val="0"/>
                    </w:rPr>
                    <w:t>c</w:t>
                  </w:r>
                </w:p>
              </w:tc>
              <w:tc>
                <w:tcPr>
                  <w:tcW w:w="602" w:type="pct"/>
                  <w:tcBorders>
                    <w:top w:val="single" w:sz="6" w:space="0" w:color="BFBFBF"/>
                    <w:bottom w:val="single" w:sz="6" w:space="0" w:color="BFBFBF"/>
                  </w:tcBorders>
                  <w:shd w:val="clear" w:color="auto" w:fill="auto"/>
                  <w:tcMar>
                    <w:top w:w="28" w:type="dxa"/>
                  </w:tcMar>
                </w:tcPr>
                <w:p w14:paraId="630ED401" w14:textId="62B4D3E8" w:rsidR="00605FE2" w:rsidRPr="009E6F57" w:rsidRDefault="00605FE2" w:rsidP="00206AEC">
                  <w:pPr>
                    <w:pStyle w:val="TableColumnHeading"/>
                    <w:ind w:right="28"/>
                    <w:jc w:val="center"/>
                  </w:pPr>
                  <w:r w:rsidRPr="009E6F57">
                    <w:t>Qld</w:t>
                  </w:r>
                  <w:r w:rsidR="00206AEC">
                    <w:rPr>
                      <w:rStyle w:val="NoteLabel"/>
                      <w:i w:val="0"/>
                    </w:rPr>
                    <w:t>d</w:t>
                  </w:r>
                </w:p>
              </w:tc>
              <w:tc>
                <w:tcPr>
                  <w:tcW w:w="602" w:type="pct"/>
                  <w:tcBorders>
                    <w:top w:val="single" w:sz="6" w:space="0" w:color="BFBFBF"/>
                    <w:bottom w:val="single" w:sz="6" w:space="0" w:color="BFBFBF"/>
                  </w:tcBorders>
                </w:tcPr>
                <w:p w14:paraId="4AE81EE0" w14:textId="53F7999D" w:rsidR="00605FE2" w:rsidRPr="009E6F57" w:rsidRDefault="00605FE2" w:rsidP="00206AEC">
                  <w:pPr>
                    <w:pStyle w:val="TableColumnHeading"/>
                    <w:ind w:right="28"/>
                    <w:jc w:val="center"/>
                  </w:pPr>
                  <w:r w:rsidRPr="009E6F57">
                    <w:t>WA</w:t>
                  </w:r>
                  <w:r w:rsidR="00206AEC">
                    <w:rPr>
                      <w:rStyle w:val="NoteLabel"/>
                      <w:i w:val="0"/>
                    </w:rPr>
                    <w:t>e</w:t>
                  </w:r>
                </w:p>
              </w:tc>
              <w:tc>
                <w:tcPr>
                  <w:tcW w:w="603" w:type="pct"/>
                  <w:tcBorders>
                    <w:top w:val="single" w:sz="6" w:space="0" w:color="BFBFBF"/>
                    <w:bottom w:val="single" w:sz="6" w:space="0" w:color="BFBFBF"/>
                  </w:tcBorders>
                </w:tcPr>
                <w:p w14:paraId="45F56286" w14:textId="42C993F4" w:rsidR="00605FE2" w:rsidRPr="009E6F57" w:rsidRDefault="00605FE2" w:rsidP="00206AEC">
                  <w:pPr>
                    <w:pStyle w:val="TableColumnHeading"/>
                    <w:ind w:right="28"/>
                    <w:jc w:val="center"/>
                  </w:pPr>
                  <w:r w:rsidRPr="009E6F57">
                    <w:t>SA</w:t>
                  </w:r>
                  <w:r w:rsidR="00206AEC">
                    <w:rPr>
                      <w:rStyle w:val="NoteLabel"/>
                      <w:i w:val="0"/>
                    </w:rPr>
                    <w:t>f</w:t>
                  </w:r>
                </w:p>
              </w:tc>
              <w:tc>
                <w:tcPr>
                  <w:tcW w:w="603" w:type="pct"/>
                  <w:tcBorders>
                    <w:top w:val="single" w:sz="6" w:space="0" w:color="BFBFBF"/>
                    <w:bottom w:val="single" w:sz="6" w:space="0" w:color="BFBFBF"/>
                  </w:tcBorders>
                </w:tcPr>
                <w:p w14:paraId="71D17EC6" w14:textId="44F05770" w:rsidR="00605FE2" w:rsidRPr="009E6F57" w:rsidRDefault="00605FE2" w:rsidP="00206AEC">
                  <w:pPr>
                    <w:pStyle w:val="TableColumnHeading"/>
                    <w:ind w:right="28"/>
                    <w:jc w:val="center"/>
                  </w:pPr>
                  <w:r w:rsidRPr="009E6F57">
                    <w:t>Tas</w:t>
                  </w:r>
                  <w:r w:rsidR="00206AEC">
                    <w:rPr>
                      <w:rStyle w:val="NoteLabel"/>
                      <w:i w:val="0"/>
                    </w:rPr>
                    <w:t>g</w:t>
                  </w:r>
                </w:p>
              </w:tc>
              <w:tc>
                <w:tcPr>
                  <w:tcW w:w="603" w:type="pct"/>
                  <w:tcBorders>
                    <w:top w:val="single" w:sz="6" w:space="0" w:color="BFBFBF"/>
                    <w:bottom w:val="single" w:sz="6" w:space="0" w:color="BFBFBF"/>
                  </w:tcBorders>
                </w:tcPr>
                <w:p w14:paraId="0CF978CE" w14:textId="78333479" w:rsidR="00605FE2" w:rsidRPr="009E6F57" w:rsidRDefault="00605FE2" w:rsidP="00206AEC">
                  <w:pPr>
                    <w:pStyle w:val="TableColumnHeading"/>
                    <w:ind w:right="28"/>
                    <w:jc w:val="center"/>
                  </w:pPr>
                  <w:r w:rsidRPr="009E6F57">
                    <w:t>ACT</w:t>
                  </w:r>
                  <w:r w:rsidR="00206AEC">
                    <w:rPr>
                      <w:rStyle w:val="NoteLabel"/>
                      <w:i w:val="0"/>
                    </w:rPr>
                    <w:t>h</w:t>
                  </w:r>
                </w:p>
              </w:tc>
              <w:tc>
                <w:tcPr>
                  <w:tcW w:w="601" w:type="pct"/>
                  <w:tcBorders>
                    <w:top w:val="single" w:sz="6" w:space="0" w:color="BFBFBF"/>
                    <w:bottom w:val="single" w:sz="6" w:space="0" w:color="BFBFBF"/>
                  </w:tcBorders>
                </w:tcPr>
                <w:p w14:paraId="599C2883" w14:textId="5AB8A253" w:rsidR="00605FE2" w:rsidRPr="009E6F57" w:rsidRDefault="00605FE2" w:rsidP="00261F8E">
                  <w:pPr>
                    <w:pStyle w:val="TableColumnHeading"/>
                    <w:ind w:right="28"/>
                    <w:jc w:val="center"/>
                  </w:pPr>
                  <w:r w:rsidRPr="009E6F57">
                    <w:t>NT</w:t>
                  </w:r>
                </w:p>
              </w:tc>
            </w:tr>
            <w:tr w:rsidR="00F1203E" w:rsidRPr="009E6F57" w14:paraId="55420F36" w14:textId="77777777" w:rsidTr="00BF3B70">
              <w:tc>
                <w:tcPr>
                  <w:tcW w:w="345" w:type="pct"/>
                  <w:tcBorders>
                    <w:top w:val="single" w:sz="6" w:space="0" w:color="BFBFBF"/>
                  </w:tcBorders>
                </w:tcPr>
                <w:p w14:paraId="47C4E84F" w14:textId="77777777" w:rsidR="00F1203E" w:rsidRPr="009E6F57" w:rsidRDefault="00F1203E" w:rsidP="00414467">
                  <w:pPr>
                    <w:pStyle w:val="TableUnitsRow"/>
                    <w:jc w:val="left"/>
                    <w:rPr>
                      <w:rFonts w:cs="Arial"/>
                      <w:b/>
                      <w:szCs w:val="18"/>
                    </w:rPr>
                  </w:pPr>
                  <w:r w:rsidRPr="009E6F57">
                    <w:rPr>
                      <w:rFonts w:cs="Arial"/>
                      <w:b/>
                      <w:szCs w:val="18"/>
                    </w:rPr>
                    <w:t>Eligibility</w:t>
                  </w:r>
                </w:p>
              </w:tc>
              <w:tc>
                <w:tcPr>
                  <w:tcW w:w="439" w:type="pct"/>
                  <w:tcBorders>
                    <w:top w:val="single" w:sz="6" w:space="0" w:color="BFBFBF"/>
                  </w:tcBorders>
                </w:tcPr>
                <w:p w14:paraId="68110A4B" w14:textId="77777777" w:rsidR="00F1203E" w:rsidRPr="009E6F57" w:rsidRDefault="00F1203E" w:rsidP="00414467">
                  <w:pPr>
                    <w:pStyle w:val="TableUnitsRow"/>
                  </w:pPr>
                </w:p>
              </w:tc>
              <w:tc>
                <w:tcPr>
                  <w:tcW w:w="602" w:type="pct"/>
                  <w:tcBorders>
                    <w:top w:val="single" w:sz="6" w:space="0" w:color="BFBFBF"/>
                  </w:tcBorders>
                </w:tcPr>
                <w:p w14:paraId="70C4D927" w14:textId="7B1D4489" w:rsidR="00F1203E" w:rsidRPr="009E6F57" w:rsidRDefault="00F1203E" w:rsidP="00F1203E">
                  <w:pPr>
                    <w:pStyle w:val="TableUnitsRow"/>
                    <w:jc w:val="center"/>
                  </w:pPr>
                </w:p>
              </w:tc>
              <w:tc>
                <w:tcPr>
                  <w:tcW w:w="602" w:type="pct"/>
                  <w:tcBorders>
                    <w:top w:val="single" w:sz="6" w:space="0" w:color="BFBFBF"/>
                  </w:tcBorders>
                </w:tcPr>
                <w:p w14:paraId="4ACB9B50" w14:textId="77777777" w:rsidR="00F1203E" w:rsidRPr="009E6F57" w:rsidRDefault="00F1203E" w:rsidP="00414467">
                  <w:pPr>
                    <w:pStyle w:val="TableUnitsRow"/>
                    <w:ind w:right="28"/>
                  </w:pPr>
                </w:p>
              </w:tc>
              <w:tc>
                <w:tcPr>
                  <w:tcW w:w="602" w:type="pct"/>
                  <w:tcBorders>
                    <w:top w:val="single" w:sz="6" w:space="0" w:color="BFBFBF"/>
                  </w:tcBorders>
                </w:tcPr>
                <w:p w14:paraId="00122681" w14:textId="77777777" w:rsidR="00F1203E" w:rsidRPr="009E6F57" w:rsidRDefault="00F1203E" w:rsidP="00414467">
                  <w:pPr>
                    <w:pStyle w:val="TableUnitsRow"/>
                    <w:ind w:right="28"/>
                  </w:pPr>
                </w:p>
              </w:tc>
              <w:tc>
                <w:tcPr>
                  <w:tcW w:w="603" w:type="pct"/>
                  <w:tcBorders>
                    <w:top w:val="single" w:sz="6" w:space="0" w:color="BFBFBF"/>
                  </w:tcBorders>
                </w:tcPr>
                <w:p w14:paraId="535BDF8E" w14:textId="77777777" w:rsidR="00F1203E" w:rsidRPr="009E6F57" w:rsidRDefault="00F1203E" w:rsidP="00414467">
                  <w:pPr>
                    <w:pStyle w:val="TableUnitsRow"/>
                    <w:ind w:right="28"/>
                  </w:pPr>
                </w:p>
              </w:tc>
              <w:tc>
                <w:tcPr>
                  <w:tcW w:w="603" w:type="pct"/>
                  <w:tcBorders>
                    <w:top w:val="single" w:sz="6" w:space="0" w:color="BFBFBF"/>
                  </w:tcBorders>
                </w:tcPr>
                <w:p w14:paraId="069C2960" w14:textId="77777777" w:rsidR="00F1203E" w:rsidRPr="009E6F57" w:rsidRDefault="00F1203E" w:rsidP="00414467">
                  <w:pPr>
                    <w:pStyle w:val="TableUnitsRow"/>
                    <w:ind w:right="28"/>
                  </w:pPr>
                </w:p>
              </w:tc>
              <w:tc>
                <w:tcPr>
                  <w:tcW w:w="603" w:type="pct"/>
                  <w:tcBorders>
                    <w:top w:val="single" w:sz="6" w:space="0" w:color="BFBFBF"/>
                  </w:tcBorders>
                </w:tcPr>
                <w:p w14:paraId="2FEC005F" w14:textId="77777777" w:rsidR="00F1203E" w:rsidRPr="009E6F57" w:rsidRDefault="00F1203E" w:rsidP="00414467">
                  <w:pPr>
                    <w:pStyle w:val="TableUnitsRow"/>
                    <w:ind w:right="28"/>
                  </w:pPr>
                </w:p>
              </w:tc>
              <w:tc>
                <w:tcPr>
                  <w:tcW w:w="601" w:type="pct"/>
                  <w:tcBorders>
                    <w:top w:val="single" w:sz="6" w:space="0" w:color="BFBFBF"/>
                  </w:tcBorders>
                </w:tcPr>
                <w:p w14:paraId="0BD714B5" w14:textId="77777777" w:rsidR="00F1203E" w:rsidRPr="009E6F57" w:rsidRDefault="00F1203E" w:rsidP="00414467">
                  <w:pPr>
                    <w:pStyle w:val="TableUnitsRow"/>
                    <w:ind w:right="28"/>
                  </w:pPr>
                </w:p>
              </w:tc>
            </w:tr>
            <w:tr w:rsidR="00F1203E" w:rsidRPr="009E6F57" w14:paraId="21753F68" w14:textId="77777777" w:rsidTr="002B5169">
              <w:tc>
                <w:tcPr>
                  <w:tcW w:w="345" w:type="pct"/>
                </w:tcPr>
                <w:p w14:paraId="624E71F1" w14:textId="77777777" w:rsidR="00F1203E" w:rsidRPr="009E6F57" w:rsidRDefault="00F1203E" w:rsidP="00414467">
                  <w:pPr>
                    <w:pStyle w:val="TableUnitsRow"/>
                    <w:jc w:val="left"/>
                  </w:pPr>
                  <w:r w:rsidRPr="009E6F57">
                    <w:t>Income limit per week ($)</w:t>
                  </w:r>
                </w:p>
              </w:tc>
              <w:tc>
                <w:tcPr>
                  <w:tcW w:w="439" w:type="pct"/>
                  <w:shd w:val="clear" w:color="auto" w:fill="auto"/>
                </w:tcPr>
                <w:p w14:paraId="767616E5" w14:textId="00C059E4" w:rsidR="00F1203E" w:rsidRPr="009E6F57" w:rsidRDefault="00F1203E" w:rsidP="0028656D">
                  <w:pPr>
                    <w:pStyle w:val="TableUnitsRow"/>
                    <w:jc w:val="center"/>
                  </w:pPr>
                  <w:r w:rsidRPr="000C05DC">
                    <w:t>6</w:t>
                  </w:r>
                  <w:r w:rsidR="0028656D" w:rsidRPr="000C05DC">
                    <w:t>4</w:t>
                  </w:r>
                  <w:r w:rsidRPr="000C05DC">
                    <w:t>0</w:t>
                  </w:r>
                </w:p>
              </w:tc>
              <w:tc>
                <w:tcPr>
                  <w:tcW w:w="602" w:type="pct"/>
                </w:tcPr>
                <w:p w14:paraId="2B59420F" w14:textId="5E51B5A5" w:rsidR="00F1203E" w:rsidRPr="009E6F57" w:rsidRDefault="00F1203E" w:rsidP="00550812">
                  <w:pPr>
                    <w:pStyle w:val="TableUnitsRow"/>
                    <w:jc w:val="center"/>
                  </w:pPr>
                  <w:r w:rsidRPr="009E6F57">
                    <w:t>555</w:t>
                  </w:r>
                  <w:r w:rsidR="00550812">
                    <w:t> </w:t>
                  </w:r>
                  <w:r w:rsidRPr="009E6F57">
                    <w:t>(Limit is for single person)</w:t>
                  </w:r>
                </w:p>
              </w:tc>
              <w:tc>
                <w:tcPr>
                  <w:tcW w:w="602" w:type="pct"/>
                </w:tcPr>
                <w:p w14:paraId="1A47FE76" w14:textId="77777777" w:rsidR="00F1203E" w:rsidRPr="009E6F57" w:rsidRDefault="00F1203E" w:rsidP="004A17D4">
                  <w:pPr>
                    <w:pStyle w:val="TableUnitsRow"/>
                    <w:spacing w:after="120"/>
                    <w:ind w:right="28"/>
                    <w:jc w:val="center"/>
                  </w:pPr>
                  <w:r w:rsidRPr="009E6F57">
                    <w:t>609</w:t>
                  </w:r>
                  <w:r w:rsidR="00550812">
                    <w:t> </w:t>
                  </w:r>
                  <w:r w:rsidRPr="009E6F57">
                    <w:t>(single, no children); $755</w:t>
                  </w:r>
                  <w:r w:rsidR="004A17D4">
                    <w:t> </w:t>
                  </w:r>
                  <w:r w:rsidRPr="009E6F57">
                    <w:t>(single, one</w:t>
                  </w:r>
                  <w:r w:rsidR="00550812">
                    <w:t> </w:t>
                  </w:r>
                  <w:r w:rsidRPr="009E6F57">
                    <w:t>child,</w:t>
                  </w:r>
                  <w:r w:rsidR="00550812">
                    <w:t xml:space="preserve"> </w:t>
                  </w:r>
                  <w:r w:rsidRPr="009E6F57">
                    <w:t>$877</w:t>
                  </w:r>
                  <w:r w:rsidR="004A17D4">
                    <w:t> </w:t>
                  </w:r>
                  <w:r w:rsidRPr="009E6F57">
                    <w:t>(single person, two</w:t>
                  </w:r>
                  <w:r w:rsidR="00550812">
                    <w:t> </w:t>
                  </w:r>
                  <w:r w:rsidRPr="009E6F57">
                    <w:t>children) $999</w:t>
                  </w:r>
                  <w:r w:rsidR="00550812">
                    <w:t> </w:t>
                  </w:r>
                  <w:r w:rsidRPr="009E6F57">
                    <w:t>(single, three</w:t>
                  </w:r>
                  <w:r w:rsidR="00550812">
                    <w:t> </w:t>
                  </w:r>
                  <w:r w:rsidRPr="009E6F57">
                    <w:t>or more children)</w:t>
                  </w:r>
                  <w:r w:rsidR="00FB437A" w:rsidRPr="009E6F57">
                    <w:t>, $1</w:t>
                  </w:r>
                  <w:r w:rsidR="003F12F9">
                    <w:t> </w:t>
                  </w:r>
                  <w:r w:rsidR="00FB437A" w:rsidRPr="009E6F57">
                    <w:t>121</w:t>
                  </w:r>
                  <w:r w:rsidR="00550812">
                    <w:t> </w:t>
                  </w:r>
                  <w:r w:rsidR="00FB437A" w:rsidRPr="009E6F57">
                    <w:t>(couple with 3</w:t>
                  </w:r>
                  <w:r w:rsidR="00550812">
                    <w:t> </w:t>
                  </w:r>
                  <w:r w:rsidR="00FB437A" w:rsidRPr="009E6F57">
                    <w:t>or more children)</w:t>
                  </w:r>
                  <w:r w:rsidRPr="009E6F57">
                    <w:t xml:space="preserve">. </w:t>
                  </w:r>
                </w:p>
              </w:tc>
              <w:tc>
                <w:tcPr>
                  <w:tcW w:w="602" w:type="pct"/>
                  <w:shd w:val="clear" w:color="auto" w:fill="auto"/>
                </w:tcPr>
                <w:p w14:paraId="56F9B382" w14:textId="12F02E45" w:rsidR="00F1203E" w:rsidRPr="002B5169" w:rsidRDefault="00F1203E" w:rsidP="00BF53A2">
                  <w:pPr>
                    <w:pStyle w:val="TableUnitsRow"/>
                    <w:ind w:right="28"/>
                    <w:jc w:val="center"/>
                  </w:pPr>
                  <w:r w:rsidRPr="000C05DC">
                    <w:t>4</w:t>
                  </w:r>
                  <w:r w:rsidR="00BF53A2" w:rsidRPr="000C05DC">
                    <w:t>50</w:t>
                  </w:r>
                </w:p>
              </w:tc>
              <w:tc>
                <w:tcPr>
                  <w:tcW w:w="603" w:type="pct"/>
                </w:tcPr>
                <w:p w14:paraId="4468565F" w14:textId="7EA4C0CE" w:rsidR="00F1203E" w:rsidRPr="002B5169" w:rsidRDefault="008F50D8" w:rsidP="004A17D4">
                  <w:pPr>
                    <w:pStyle w:val="TableUnitsRow"/>
                    <w:ind w:right="28"/>
                    <w:jc w:val="center"/>
                  </w:pPr>
                  <w:r w:rsidRPr="002B5169">
                    <w:t>1</w:t>
                  </w:r>
                  <w:r w:rsidR="003F12F9">
                    <w:t> </w:t>
                  </w:r>
                  <w:r w:rsidRPr="002B5169">
                    <w:t>016</w:t>
                  </w:r>
                  <w:r w:rsidR="004A17D4">
                    <w:t> </w:t>
                  </w:r>
                  <w:r w:rsidR="00F1203E" w:rsidRPr="002B5169">
                    <w:t>(single, no children); Limits vary depending on household type</w:t>
                  </w:r>
                </w:p>
              </w:tc>
              <w:tc>
                <w:tcPr>
                  <w:tcW w:w="603" w:type="pct"/>
                  <w:shd w:val="clear" w:color="auto" w:fill="auto"/>
                </w:tcPr>
                <w:p w14:paraId="71C653AC" w14:textId="67F07706" w:rsidR="00F1203E" w:rsidRPr="009E6F57" w:rsidRDefault="00F1203E" w:rsidP="001200EB">
                  <w:pPr>
                    <w:pStyle w:val="TableUnitsRow"/>
                    <w:ind w:right="28"/>
                    <w:jc w:val="center"/>
                  </w:pPr>
                  <w:r w:rsidRPr="000C05DC">
                    <w:t>5</w:t>
                  </w:r>
                  <w:r w:rsidR="001200EB" w:rsidRPr="000C05DC">
                    <w:t>6</w:t>
                  </w:r>
                  <w:r w:rsidR="0078418F" w:rsidRPr="000C05DC">
                    <w:t>1</w:t>
                  </w:r>
                </w:p>
              </w:tc>
              <w:tc>
                <w:tcPr>
                  <w:tcW w:w="603" w:type="pct"/>
                </w:tcPr>
                <w:p w14:paraId="6084F388" w14:textId="497A60AE" w:rsidR="00F1203E" w:rsidRPr="009E6F57" w:rsidRDefault="00DD03CC" w:rsidP="004A17D4">
                  <w:pPr>
                    <w:pStyle w:val="TableUnitsRow"/>
                    <w:ind w:right="28"/>
                    <w:jc w:val="center"/>
                  </w:pPr>
                  <w:r w:rsidRPr="002B5169">
                    <w:t>754</w:t>
                  </w:r>
                  <w:r w:rsidR="004A17D4">
                    <w:t> </w:t>
                  </w:r>
                  <w:r w:rsidRPr="009E6F57">
                    <w:t>(single,</w:t>
                  </w:r>
                  <w:r w:rsidR="00F1203E" w:rsidRPr="009E6F57">
                    <w:t xml:space="preserve"> no dependants); Limits vary depending on household type</w:t>
                  </w:r>
                </w:p>
              </w:tc>
              <w:tc>
                <w:tcPr>
                  <w:tcW w:w="601" w:type="pct"/>
                </w:tcPr>
                <w:p w14:paraId="33DF8A11" w14:textId="0D2B791B" w:rsidR="00F1203E" w:rsidRPr="009E6F57" w:rsidRDefault="00F1203E" w:rsidP="00414467">
                  <w:pPr>
                    <w:pStyle w:val="TableUnitsRow"/>
                    <w:ind w:right="28"/>
                    <w:jc w:val="center"/>
                  </w:pPr>
                  <w:r w:rsidRPr="009E6F57">
                    <w:t>na</w:t>
                  </w:r>
                </w:p>
                <w:p w14:paraId="677F8098" w14:textId="0CB7462D" w:rsidR="00F1203E" w:rsidRPr="009E6F57" w:rsidRDefault="00F1203E" w:rsidP="00414467">
                  <w:pPr>
                    <w:pStyle w:val="TableUnitsRow"/>
                    <w:ind w:right="28"/>
                    <w:jc w:val="center"/>
                  </w:pPr>
                </w:p>
              </w:tc>
            </w:tr>
            <w:tr w:rsidR="00F1203E" w:rsidRPr="009E6F57" w14:paraId="37636200" w14:textId="77777777" w:rsidTr="00605FE2">
              <w:trPr>
                <w:trHeight w:val="1812"/>
              </w:trPr>
              <w:tc>
                <w:tcPr>
                  <w:tcW w:w="345" w:type="pct"/>
                </w:tcPr>
                <w:p w14:paraId="2A0E39BF" w14:textId="21C06F24" w:rsidR="00F1203E" w:rsidRPr="009E6F57" w:rsidRDefault="00F1203E" w:rsidP="00414467">
                  <w:pPr>
                    <w:pStyle w:val="TableBodyText"/>
                    <w:jc w:val="left"/>
                  </w:pPr>
                  <w:r w:rsidRPr="009E6F57">
                    <w:t>Other asset limits ($)</w:t>
                  </w:r>
                </w:p>
              </w:tc>
              <w:tc>
                <w:tcPr>
                  <w:tcW w:w="439" w:type="pct"/>
                </w:tcPr>
                <w:p w14:paraId="7ECA1A5E" w14:textId="77777777" w:rsidR="00F1203E" w:rsidRPr="009E6F57" w:rsidRDefault="00F1203E" w:rsidP="00414467">
                  <w:pPr>
                    <w:pStyle w:val="TableBodyText"/>
                    <w:jc w:val="center"/>
                  </w:pPr>
                  <w:r w:rsidRPr="009E6F57">
                    <w:t>Nil</w:t>
                  </w:r>
                </w:p>
              </w:tc>
              <w:tc>
                <w:tcPr>
                  <w:tcW w:w="602" w:type="pct"/>
                </w:tcPr>
                <w:p w14:paraId="2A627B04" w14:textId="5AA682CF" w:rsidR="00F1203E" w:rsidRPr="009E6F57" w:rsidRDefault="005608CF" w:rsidP="00414467">
                  <w:pPr>
                    <w:pStyle w:val="TableBodyText"/>
                    <w:jc w:val="center"/>
                  </w:pPr>
                  <w:r w:rsidRPr="009E6F57">
                    <w:t xml:space="preserve">12 758 (Priority Access); </w:t>
                  </w:r>
                  <w:r w:rsidR="00F1203E" w:rsidRPr="009E6F57">
                    <w:t>32</w:t>
                  </w:r>
                  <w:r w:rsidR="004A17D4">
                    <w:t> </w:t>
                  </w:r>
                  <w:r w:rsidR="00F1203E" w:rsidRPr="009E6F57">
                    <w:t>276 (Register of Interest);</w:t>
                  </w:r>
                </w:p>
                <w:p w14:paraId="1F160D77" w14:textId="5D383EB8" w:rsidR="00F1203E" w:rsidRPr="009E6F57" w:rsidRDefault="00F1203E" w:rsidP="005608CF">
                  <w:pPr>
                    <w:pStyle w:val="TableBodyText"/>
                    <w:jc w:val="center"/>
                  </w:pPr>
                  <w:r w:rsidRPr="009E6F57">
                    <w:t>107</w:t>
                  </w:r>
                  <w:r w:rsidR="005608CF" w:rsidRPr="009E6F57">
                    <w:t> </w:t>
                  </w:r>
                  <w:r w:rsidRPr="009E6F57">
                    <w:t>588 (Disability major modifications needed)</w:t>
                  </w:r>
                </w:p>
              </w:tc>
              <w:tc>
                <w:tcPr>
                  <w:tcW w:w="602" w:type="pct"/>
                </w:tcPr>
                <w:p w14:paraId="2C0F4CDF" w14:textId="603FEC4A" w:rsidR="00F1203E" w:rsidRPr="009E6F57" w:rsidRDefault="00FB437A" w:rsidP="004A17D4">
                  <w:pPr>
                    <w:pStyle w:val="TableBodyText"/>
                    <w:ind w:right="28"/>
                    <w:jc w:val="center"/>
                  </w:pPr>
                  <w:r w:rsidRPr="009E6F57">
                    <w:t>$116</w:t>
                  </w:r>
                  <w:r w:rsidR="004A17D4">
                    <w:t> </w:t>
                  </w:r>
                  <w:r w:rsidRPr="009E6F57">
                    <w:t>375</w:t>
                  </w:r>
                  <w:r w:rsidR="00550812">
                    <w:t> </w:t>
                  </w:r>
                  <w:r w:rsidRPr="009E6F57">
                    <w:t>(single household) and $148</w:t>
                  </w:r>
                  <w:r w:rsidR="004A17D4">
                    <w:t> </w:t>
                  </w:r>
                  <w:r w:rsidRPr="009E6F57">
                    <w:t>625</w:t>
                  </w:r>
                  <w:r w:rsidR="00550812">
                    <w:t> </w:t>
                  </w:r>
                  <w:r w:rsidRPr="009E6F57">
                    <w:t>(two or more person household)</w:t>
                  </w:r>
                </w:p>
              </w:tc>
              <w:tc>
                <w:tcPr>
                  <w:tcW w:w="602" w:type="pct"/>
                </w:tcPr>
                <w:p w14:paraId="6204DB28" w14:textId="698B5019" w:rsidR="00F1203E" w:rsidRPr="009E6F57" w:rsidRDefault="00F1203E" w:rsidP="00F1203E">
                  <w:pPr>
                    <w:pStyle w:val="TableBodyText"/>
                    <w:ind w:right="28"/>
                    <w:jc w:val="center"/>
                  </w:pPr>
                  <w:r w:rsidRPr="009E6F57">
                    <w:t>38</w:t>
                  </w:r>
                  <w:r w:rsidR="00550812">
                    <w:t> </w:t>
                  </w:r>
                  <w:r w:rsidRPr="009E6F57">
                    <w:t>400</w:t>
                  </w:r>
                </w:p>
                <w:p w14:paraId="6F5866B1" w14:textId="5885FBB4" w:rsidR="00F1203E" w:rsidRPr="009E6F57" w:rsidRDefault="00F1203E" w:rsidP="00414467">
                  <w:pPr>
                    <w:pStyle w:val="TableBodyText"/>
                    <w:ind w:right="28"/>
                    <w:jc w:val="center"/>
                  </w:pPr>
                </w:p>
              </w:tc>
              <w:tc>
                <w:tcPr>
                  <w:tcW w:w="603" w:type="pct"/>
                </w:tcPr>
                <w:p w14:paraId="2D689A59" w14:textId="47F37885" w:rsidR="00F1203E" w:rsidRPr="009E6F57" w:rsidRDefault="008F50D8" w:rsidP="00550812">
                  <w:pPr>
                    <w:pStyle w:val="TableBodyText"/>
                    <w:ind w:right="28"/>
                    <w:jc w:val="center"/>
                  </w:pPr>
                  <w:r w:rsidRPr="002B5169">
                    <w:t>473</w:t>
                  </w:r>
                  <w:r w:rsidR="00550812">
                    <w:t> </w:t>
                  </w:r>
                  <w:r w:rsidRPr="002B5169">
                    <w:t>750</w:t>
                  </w:r>
                  <w:r w:rsidR="005608CF" w:rsidRPr="009E6F57">
                    <w:t xml:space="preserve"> (single household) and </w:t>
                  </w:r>
                  <w:r w:rsidRPr="002B5169">
                    <w:t>604 000</w:t>
                  </w:r>
                  <w:r w:rsidR="005608CF" w:rsidRPr="009E6F57">
                    <w:t xml:space="preserve"> (two or more person household)</w:t>
                  </w:r>
                </w:p>
              </w:tc>
              <w:tc>
                <w:tcPr>
                  <w:tcW w:w="603" w:type="pct"/>
                </w:tcPr>
                <w:p w14:paraId="20F62086" w14:textId="77777777" w:rsidR="00F1203E" w:rsidRPr="009E6F57" w:rsidRDefault="00F1203E" w:rsidP="00414467">
                  <w:pPr>
                    <w:pStyle w:val="TableBodyText"/>
                    <w:ind w:right="28"/>
                    <w:jc w:val="center"/>
                  </w:pPr>
                  <w:r w:rsidRPr="009E6F57">
                    <w:t>35 000</w:t>
                  </w:r>
                </w:p>
              </w:tc>
              <w:tc>
                <w:tcPr>
                  <w:tcW w:w="603" w:type="pct"/>
                </w:tcPr>
                <w:p w14:paraId="1D4A8681" w14:textId="77777777" w:rsidR="00F1203E" w:rsidRPr="009E6F57" w:rsidRDefault="00F1203E" w:rsidP="00414467">
                  <w:pPr>
                    <w:pStyle w:val="TableBodyText"/>
                    <w:ind w:right="28"/>
                    <w:jc w:val="center"/>
                  </w:pPr>
                  <w:r w:rsidRPr="009E6F57">
                    <w:t>40 000</w:t>
                  </w:r>
                </w:p>
              </w:tc>
              <w:tc>
                <w:tcPr>
                  <w:tcW w:w="601" w:type="pct"/>
                </w:tcPr>
                <w:p w14:paraId="0E08C420" w14:textId="77777777" w:rsidR="00F1203E" w:rsidRPr="009E6F57" w:rsidRDefault="00F1203E" w:rsidP="00F1203E">
                  <w:pPr>
                    <w:pStyle w:val="TableUnitsRow"/>
                    <w:ind w:right="28"/>
                    <w:jc w:val="center"/>
                  </w:pPr>
                  <w:r w:rsidRPr="009E6F57">
                    <w:t>na</w:t>
                  </w:r>
                </w:p>
                <w:p w14:paraId="4F16C3D3" w14:textId="24FCB717" w:rsidR="00F1203E" w:rsidRPr="009E6F57" w:rsidRDefault="00F1203E" w:rsidP="00414467">
                  <w:pPr>
                    <w:pStyle w:val="TableBodyText"/>
                    <w:ind w:right="28"/>
                    <w:jc w:val="center"/>
                  </w:pPr>
                </w:p>
              </w:tc>
            </w:tr>
            <w:tr w:rsidR="00F1203E" w:rsidRPr="009E6F57" w14:paraId="702E601B" w14:textId="77777777" w:rsidTr="00605FE2">
              <w:tc>
                <w:tcPr>
                  <w:tcW w:w="345" w:type="pct"/>
                  <w:shd w:val="clear" w:color="auto" w:fill="auto"/>
                </w:tcPr>
                <w:p w14:paraId="7AB36680" w14:textId="77777777" w:rsidR="00F1203E" w:rsidRPr="009E6F57" w:rsidRDefault="00F1203E" w:rsidP="00414467">
                  <w:pPr>
                    <w:pStyle w:val="TableBodyText"/>
                    <w:jc w:val="left"/>
                  </w:pPr>
                  <w:r w:rsidRPr="009E6F57">
                    <w:t>Minimum age (years)</w:t>
                  </w:r>
                </w:p>
              </w:tc>
              <w:tc>
                <w:tcPr>
                  <w:tcW w:w="439" w:type="pct"/>
                </w:tcPr>
                <w:p w14:paraId="4F7027CC" w14:textId="4DFB2AB6" w:rsidR="00F1203E" w:rsidRPr="009E6F57" w:rsidRDefault="00F1203E" w:rsidP="00F1203E">
                  <w:pPr>
                    <w:pStyle w:val="TableBodyText"/>
                    <w:jc w:val="center"/>
                  </w:pPr>
                  <w:r w:rsidRPr="009E6F57">
                    <w:t>18</w:t>
                  </w:r>
                </w:p>
              </w:tc>
              <w:tc>
                <w:tcPr>
                  <w:tcW w:w="602" w:type="pct"/>
                  <w:shd w:val="clear" w:color="auto" w:fill="auto"/>
                </w:tcPr>
                <w:p w14:paraId="1CB39B26" w14:textId="6D74C4C5" w:rsidR="00F1203E" w:rsidRPr="009E6F57" w:rsidRDefault="00F1203E" w:rsidP="00414467">
                  <w:pPr>
                    <w:pStyle w:val="TableBodyText"/>
                    <w:jc w:val="center"/>
                  </w:pPr>
                  <w:r w:rsidRPr="009E6F57">
                    <w:t xml:space="preserve">15 as per section 14 1(g) of the </w:t>
                  </w:r>
                  <w:r w:rsidRPr="000B27BB">
                    <w:rPr>
                      <w:i/>
                    </w:rPr>
                    <w:t>Housing Act 1983</w:t>
                  </w:r>
                </w:p>
              </w:tc>
              <w:tc>
                <w:tcPr>
                  <w:tcW w:w="602" w:type="pct"/>
                  <w:shd w:val="clear" w:color="auto" w:fill="auto"/>
                </w:tcPr>
                <w:p w14:paraId="3153B2B5" w14:textId="57C8DCB6" w:rsidR="00F1203E" w:rsidRPr="009E6F57" w:rsidRDefault="00F1203E" w:rsidP="003F12F9">
                  <w:pPr>
                    <w:pStyle w:val="TableBodyText"/>
                    <w:ind w:right="28"/>
                    <w:jc w:val="center"/>
                  </w:pPr>
                  <w:r w:rsidRPr="009E6F57">
                    <w:t xml:space="preserve">None </w:t>
                  </w:r>
                  <w:r w:rsidR="003F12F9">
                    <w:rPr>
                      <w:rFonts w:cs="Arial"/>
                    </w:rPr>
                    <w:t>—</w:t>
                  </w:r>
                  <w:r w:rsidRPr="009E6F57">
                    <w:t xml:space="preserve"> need to meet independent income eligibility criteria</w:t>
                  </w:r>
                </w:p>
              </w:tc>
              <w:tc>
                <w:tcPr>
                  <w:tcW w:w="602" w:type="pct"/>
                </w:tcPr>
                <w:p w14:paraId="72FBA28B" w14:textId="77777777" w:rsidR="00F1203E" w:rsidRPr="009E6F57" w:rsidRDefault="00F1203E" w:rsidP="00414467">
                  <w:pPr>
                    <w:pStyle w:val="TableBodyText"/>
                    <w:ind w:right="28"/>
                    <w:jc w:val="center"/>
                  </w:pPr>
                  <w:r w:rsidRPr="009E6F57">
                    <w:t>16</w:t>
                  </w:r>
                </w:p>
              </w:tc>
              <w:tc>
                <w:tcPr>
                  <w:tcW w:w="603" w:type="pct"/>
                </w:tcPr>
                <w:p w14:paraId="3A9791B4" w14:textId="77777777" w:rsidR="00F1203E" w:rsidRPr="009E6F57" w:rsidRDefault="00F1203E" w:rsidP="00414467">
                  <w:pPr>
                    <w:pStyle w:val="TableBodyText"/>
                    <w:ind w:right="28"/>
                    <w:jc w:val="center"/>
                  </w:pPr>
                  <w:r w:rsidRPr="009E6F57">
                    <w:t>None</w:t>
                  </w:r>
                </w:p>
              </w:tc>
              <w:tc>
                <w:tcPr>
                  <w:tcW w:w="603" w:type="pct"/>
                </w:tcPr>
                <w:p w14:paraId="63BD6CBF" w14:textId="77777777" w:rsidR="00F1203E" w:rsidRPr="009E6F57" w:rsidRDefault="00F1203E" w:rsidP="00414467">
                  <w:pPr>
                    <w:pStyle w:val="TableBodyText"/>
                    <w:ind w:right="28"/>
                    <w:jc w:val="center"/>
                  </w:pPr>
                  <w:r w:rsidRPr="009E6F57">
                    <w:t>16</w:t>
                  </w:r>
                </w:p>
              </w:tc>
              <w:tc>
                <w:tcPr>
                  <w:tcW w:w="603" w:type="pct"/>
                </w:tcPr>
                <w:p w14:paraId="7501CABA" w14:textId="77777777" w:rsidR="00F1203E" w:rsidRPr="009E6F57" w:rsidRDefault="00F1203E" w:rsidP="00414467">
                  <w:pPr>
                    <w:pStyle w:val="TableBodyText"/>
                    <w:ind w:right="28"/>
                    <w:jc w:val="center"/>
                  </w:pPr>
                  <w:r w:rsidRPr="009E6F57">
                    <w:t>16</w:t>
                  </w:r>
                </w:p>
              </w:tc>
              <w:tc>
                <w:tcPr>
                  <w:tcW w:w="601" w:type="pct"/>
                </w:tcPr>
                <w:p w14:paraId="33467EF0" w14:textId="77777777" w:rsidR="00F1203E" w:rsidRPr="009E6F57" w:rsidRDefault="00F1203E" w:rsidP="00F1203E">
                  <w:pPr>
                    <w:pStyle w:val="TableUnitsRow"/>
                    <w:ind w:right="28"/>
                    <w:jc w:val="center"/>
                  </w:pPr>
                  <w:r w:rsidRPr="009E6F57">
                    <w:t>na</w:t>
                  </w:r>
                </w:p>
                <w:p w14:paraId="60CB3EA0" w14:textId="4D182B6B" w:rsidR="00F1203E" w:rsidRPr="009E6F57" w:rsidRDefault="00F1203E" w:rsidP="00414467">
                  <w:pPr>
                    <w:pStyle w:val="TableBodyText"/>
                    <w:ind w:right="28"/>
                    <w:jc w:val="center"/>
                  </w:pPr>
                </w:p>
              </w:tc>
            </w:tr>
            <w:tr w:rsidR="00F1203E" w:rsidRPr="009E6F57" w14:paraId="6638AEF4" w14:textId="77777777" w:rsidTr="0069445A">
              <w:tc>
                <w:tcPr>
                  <w:tcW w:w="345" w:type="pct"/>
                  <w:shd w:val="clear" w:color="auto" w:fill="auto"/>
                </w:tcPr>
                <w:p w14:paraId="3E29DFCC" w14:textId="77777777" w:rsidR="00F1203E" w:rsidRPr="009E6F57" w:rsidRDefault="00F1203E" w:rsidP="00414467">
                  <w:pPr>
                    <w:pStyle w:val="TableBodyText"/>
                    <w:jc w:val="left"/>
                    <w:rPr>
                      <w:b/>
                      <w:szCs w:val="18"/>
                    </w:rPr>
                  </w:pPr>
                  <w:r w:rsidRPr="009E6F57">
                    <w:rPr>
                      <w:b/>
                      <w:szCs w:val="18"/>
                    </w:rPr>
                    <w:t>Waiting list:</w:t>
                  </w:r>
                </w:p>
                <w:p w14:paraId="677B75D7" w14:textId="1FB35B71" w:rsidR="00F1203E" w:rsidRPr="009E6F57" w:rsidRDefault="00F1203E" w:rsidP="00414467">
                  <w:pPr>
                    <w:pStyle w:val="TableBodyText"/>
                    <w:jc w:val="left"/>
                    <w:rPr>
                      <w:b/>
                      <w:szCs w:val="18"/>
                    </w:rPr>
                  </w:pPr>
                  <w:r w:rsidRPr="009E6F57">
                    <w:rPr>
                      <w:szCs w:val="18"/>
                    </w:rPr>
                    <w:t>Segment by</w:t>
                  </w:r>
                  <w:r w:rsidRPr="009E6F57">
                    <w:rPr>
                      <w:b/>
                      <w:szCs w:val="18"/>
                    </w:rPr>
                    <w:tab/>
                  </w:r>
                </w:p>
              </w:tc>
              <w:tc>
                <w:tcPr>
                  <w:tcW w:w="439" w:type="pct"/>
                </w:tcPr>
                <w:p w14:paraId="0664A60E" w14:textId="77777777" w:rsidR="00F1203E" w:rsidRPr="009E6F57" w:rsidRDefault="00F1203E" w:rsidP="00414467">
                  <w:pPr>
                    <w:pStyle w:val="TableBodyText"/>
                    <w:jc w:val="center"/>
                    <w:rPr>
                      <w:szCs w:val="18"/>
                    </w:rPr>
                  </w:pPr>
                  <w:r w:rsidRPr="009E6F57">
                    <w:rPr>
                      <w:szCs w:val="18"/>
                    </w:rPr>
                    <w:t>Single list of approved clients</w:t>
                  </w:r>
                </w:p>
              </w:tc>
              <w:tc>
                <w:tcPr>
                  <w:tcW w:w="602" w:type="pct"/>
                  <w:shd w:val="clear" w:color="auto" w:fill="auto"/>
                </w:tcPr>
                <w:p w14:paraId="5E431E9B" w14:textId="513C5585" w:rsidR="00F1203E" w:rsidRPr="009E6F57" w:rsidRDefault="00F1203E" w:rsidP="004A17D4">
                  <w:pPr>
                    <w:pStyle w:val="TableBodyText"/>
                    <w:jc w:val="center"/>
                    <w:rPr>
                      <w:szCs w:val="18"/>
                    </w:rPr>
                  </w:pPr>
                  <w:r w:rsidRPr="009E6F57">
                    <w:rPr>
                      <w:szCs w:val="18"/>
                    </w:rPr>
                    <w:t>Six</w:t>
                  </w:r>
                  <w:r w:rsidR="004A17D4">
                    <w:rPr>
                      <w:szCs w:val="18"/>
                    </w:rPr>
                    <w:t> </w:t>
                  </w:r>
                  <w:r w:rsidRPr="009E6F57">
                    <w:rPr>
                      <w:szCs w:val="18"/>
                    </w:rPr>
                    <w:t>priority segments and a register of interest</w:t>
                  </w:r>
                </w:p>
              </w:tc>
              <w:tc>
                <w:tcPr>
                  <w:tcW w:w="602" w:type="pct"/>
                  <w:shd w:val="clear" w:color="auto" w:fill="auto"/>
                </w:tcPr>
                <w:p w14:paraId="4FFA1100" w14:textId="7CA6F572" w:rsidR="00F1203E" w:rsidRPr="009E6F57" w:rsidRDefault="00F1203E" w:rsidP="004A17D4">
                  <w:pPr>
                    <w:pStyle w:val="TableBodyText"/>
                    <w:ind w:right="28"/>
                    <w:jc w:val="center"/>
                    <w:rPr>
                      <w:szCs w:val="18"/>
                    </w:rPr>
                  </w:pPr>
                  <w:r w:rsidRPr="009E6F57">
                    <w:rPr>
                      <w:szCs w:val="18"/>
                    </w:rPr>
                    <w:t>Need (</w:t>
                  </w:r>
                  <w:r w:rsidR="002D2834" w:rsidRPr="000C05DC">
                    <w:rPr>
                      <w:szCs w:val="18"/>
                    </w:rPr>
                    <w:t>f</w:t>
                  </w:r>
                  <w:r w:rsidRPr="000C05DC">
                    <w:rPr>
                      <w:szCs w:val="18"/>
                    </w:rPr>
                    <w:t>our</w:t>
                  </w:r>
                  <w:r w:rsidR="004A17D4">
                    <w:rPr>
                      <w:szCs w:val="18"/>
                    </w:rPr>
                    <w:t> </w:t>
                  </w:r>
                  <w:r w:rsidRPr="000C05DC">
                    <w:rPr>
                      <w:szCs w:val="18"/>
                    </w:rPr>
                    <w:t>segments</w:t>
                  </w:r>
                  <w:r w:rsidRPr="009E6F57">
                    <w:rPr>
                      <w:szCs w:val="18"/>
                    </w:rPr>
                    <w:t>)</w:t>
                  </w:r>
                </w:p>
              </w:tc>
              <w:tc>
                <w:tcPr>
                  <w:tcW w:w="602" w:type="pct"/>
                </w:tcPr>
                <w:p w14:paraId="476B0E08" w14:textId="740C4487" w:rsidR="00F1203E" w:rsidRPr="009E6F57" w:rsidRDefault="00F1203E" w:rsidP="004A17D4">
                  <w:pPr>
                    <w:pStyle w:val="TableBodyText"/>
                    <w:ind w:right="28"/>
                    <w:jc w:val="center"/>
                    <w:rPr>
                      <w:szCs w:val="18"/>
                    </w:rPr>
                  </w:pPr>
                  <w:r w:rsidRPr="009E6F57">
                    <w:rPr>
                      <w:rFonts w:cs="Arial"/>
                      <w:szCs w:val="18"/>
                    </w:rPr>
                    <w:t>Need</w:t>
                  </w:r>
                  <w:r w:rsidR="00C47BFD" w:rsidRPr="009E6F57">
                    <w:rPr>
                      <w:rFonts w:cs="Arial"/>
                      <w:szCs w:val="18"/>
                    </w:rPr>
                    <w:t xml:space="preserve"> </w:t>
                  </w:r>
                  <w:r w:rsidRPr="009E6F57">
                    <w:rPr>
                      <w:rFonts w:cs="Arial"/>
                      <w:szCs w:val="18"/>
                    </w:rPr>
                    <w:t>(four</w:t>
                  </w:r>
                  <w:r w:rsidR="004A17D4">
                    <w:rPr>
                      <w:rFonts w:cs="Arial"/>
                      <w:szCs w:val="18"/>
                    </w:rPr>
                    <w:t> </w:t>
                  </w:r>
                  <w:r w:rsidRPr="009E6F57">
                    <w:rPr>
                      <w:rFonts w:cs="Arial"/>
                      <w:szCs w:val="18"/>
                    </w:rPr>
                    <w:t>segments)</w:t>
                  </w:r>
                </w:p>
              </w:tc>
              <w:tc>
                <w:tcPr>
                  <w:tcW w:w="603" w:type="pct"/>
                </w:tcPr>
                <w:p w14:paraId="71062B5C" w14:textId="2236F3E5" w:rsidR="00F1203E" w:rsidRPr="009E6F57" w:rsidRDefault="00F1203E" w:rsidP="004A17D4">
                  <w:pPr>
                    <w:pStyle w:val="TableBodyText"/>
                    <w:ind w:right="28"/>
                    <w:jc w:val="center"/>
                    <w:rPr>
                      <w:szCs w:val="18"/>
                    </w:rPr>
                  </w:pPr>
                  <w:r w:rsidRPr="009E6F57">
                    <w:rPr>
                      <w:rFonts w:cs="Arial"/>
                      <w:szCs w:val="18"/>
                    </w:rPr>
                    <w:t>Need (three</w:t>
                  </w:r>
                  <w:r w:rsidR="004A17D4">
                    <w:rPr>
                      <w:rFonts w:cs="Arial"/>
                      <w:szCs w:val="18"/>
                    </w:rPr>
                    <w:t> </w:t>
                  </w:r>
                  <w:r w:rsidRPr="009E6F57">
                    <w:rPr>
                      <w:rFonts w:cs="Arial"/>
                      <w:szCs w:val="18"/>
                    </w:rPr>
                    <w:t>segments)</w:t>
                  </w:r>
                </w:p>
              </w:tc>
              <w:tc>
                <w:tcPr>
                  <w:tcW w:w="603" w:type="pct"/>
                </w:tcPr>
                <w:p w14:paraId="14BA5C30" w14:textId="56C03C27" w:rsidR="00F1203E" w:rsidRPr="009E6F57" w:rsidRDefault="00F1203E" w:rsidP="004A17D4">
                  <w:pPr>
                    <w:pStyle w:val="TableBodyText"/>
                    <w:ind w:right="28"/>
                    <w:jc w:val="center"/>
                    <w:rPr>
                      <w:szCs w:val="18"/>
                    </w:rPr>
                  </w:pPr>
                  <w:r w:rsidRPr="009E6F57">
                    <w:rPr>
                      <w:rFonts w:cs="Arial"/>
                      <w:szCs w:val="18"/>
                    </w:rPr>
                    <w:t>Three</w:t>
                  </w:r>
                  <w:r w:rsidR="004A17D4">
                    <w:rPr>
                      <w:rFonts w:cs="Arial"/>
                      <w:szCs w:val="18"/>
                    </w:rPr>
                    <w:t> </w:t>
                  </w:r>
                  <w:r w:rsidRPr="009E6F57">
                    <w:rPr>
                      <w:rFonts w:cs="Arial"/>
                      <w:szCs w:val="18"/>
                    </w:rPr>
                    <w:t>levels: Priority (Exiting); Priority; General</w:t>
                  </w:r>
                </w:p>
              </w:tc>
              <w:tc>
                <w:tcPr>
                  <w:tcW w:w="603" w:type="pct"/>
                </w:tcPr>
                <w:p w14:paraId="4C6F6957" w14:textId="3D77A836" w:rsidR="00F1203E" w:rsidRPr="009E6F57" w:rsidRDefault="00F1203E" w:rsidP="004A17D4">
                  <w:pPr>
                    <w:pStyle w:val="TableBodyText"/>
                    <w:ind w:right="28"/>
                    <w:jc w:val="center"/>
                    <w:rPr>
                      <w:szCs w:val="18"/>
                    </w:rPr>
                  </w:pPr>
                  <w:r w:rsidRPr="009E6F57">
                    <w:rPr>
                      <w:rFonts w:cs="Arial"/>
                      <w:szCs w:val="18"/>
                    </w:rPr>
                    <w:t>Need (three</w:t>
                  </w:r>
                  <w:r w:rsidR="004A17D4">
                    <w:rPr>
                      <w:rFonts w:cs="Arial"/>
                      <w:szCs w:val="18"/>
                    </w:rPr>
                    <w:t> </w:t>
                  </w:r>
                  <w:r w:rsidRPr="009E6F57">
                    <w:rPr>
                      <w:rFonts w:cs="Arial"/>
                      <w:szCs w:val="18"/>
                    </w:rPr>
                    <w:t>segments)</w:t>
                  </w:r>
                </w:p>
              </w:tc>
              <w:tc>
                <w:tcPr>
                  <w:tcW w:w="601" w:type="pct"/>
                </w:tcPr>
                <w:p w14:paraId="18A7CD4F" w14:textId="77777777" w:rsidR="00F1203E" w:rsidRPr="009E6F57" w:rsidRDefault="00F1203E" w:rsidP="00F1203E">
                  <w:pPr>
                    <w:pStyle w:val="TableUnitsRow"/>
                    <w:ind w:right="28"/>
                    <w:jc w:val="center"/>
                    <w:rPr>
                      <w:szCs w:val="18"/>
                    </w:rPr>
                  </w:pPr>
                  <w:r w:rsidRPr="009E6F57">
                    <w:rPr>
                      <w:szCs w:val="18"/>
                    </w:rPr>
                    <w:t>na</w:t>
                  </w:r>
                </w:p>
                <w:p w14:paraId="69290884" w14:textId="05D006F6" w:rsidR="00F1203E" w:rsidRPr="009E6F57" w:rsidRDefault="00F1203E" w:rsidP="00414467">
                  <w:pPr>
                    <w:pStyle w:val="TableBodyText"/>
                    <w:ind w:right="28"/>
                    <w:jc w:val="center"/>
                    <w:rPr>
                      <w:szCs w:val="18"/>
                    </w:rPr>
                  </w:pPr>
                </w:p>
              </w:tc>
            </w:tr>
            <w:tr w:rsidR="00F1203E" w14:paraId="1FBF00C3" w14:textId="77777777" w:rsidTr="0069445A">
              <w:tc>
                <w:tcPr>
                  <w:tcW w:w="345" w:type="pct"/>
                  <w:tcBorders>
                    <w:bottom w:val="single" w:sz="6" w:space="0" w:color="BFBFBF" w:themeColor="background1" w:themeShade="BF"/>
                  </w:tcBorders>
                  <w:shd w:val="clear" w:color="auto" w:fill="auto"/>
                </w:tcPr>
                <w:p w14:paraId="279CC246" w14:textId="77777777" w:rsidR="00F1203E" w:rsidRPr="009E6F57" w:rsidRDefault="00F1203E" w:rsidP="00414467">
                  <w:pPr>
                    <w:pStyle w:val="TableBodyText"/>
                    <w:jc w:val="left"/>
                  </w:pPr>
                </w:p>
              </w:tc>
              <w:tc>
                <w:tcPr>
                  <w:tcW w:w="439" w:type="pct"/>
                  <w:tcBorders>
                    <w:bottom w:val="single" w:sz="6" w:space="0" w:color="BFBFBF" w:themeColor="background1" w:themeShade="BF"/>
                  </w:tcBorders>
                </w:tcPr>
                <w:p w14:paraId="43D5C608" w14:textId="77777777" w:rsidR="00F1203E" w:rsidRPr="009E6F57" w:rsidRDefault="00F1203E" w:rsidP="00414467">
                  <w:pPr>
                    <w:pStyle w:val="TableBodyText"/>
                    <w:jc w:val="center"/>
                  </w:pPr>
                </w:p>
              </w:tc>
              <w:tc>
                <w:tcPr>
                  <w:tcW w:w="602" w:type="pct"/>
                  <w:tcBorders>
                    <w:bottom w:val="single" w:sz="6" w:space="0" w:color="BFBFBF" w:themeColor="background1" w:themeShade="BF"/>
                  </w:tcBorders>
                  <w:shd w:val="clear" w:color="auto" w:fill="auto"/>
                </w:tcPr>
                <w:p w14:paraId="7B1AE922" w14:textId="77777777" w:rsidR="00F1203E" w:rsidRPr="009E6F57" w:rsidRDefault="00F1203E" w:rsidP="00414467">
                  <w:pPr>
                    <w:pStyle w:val="TableBodyText"/>
                    <w:jc w:val="center"/>
                  </w:pPr>
                </w:p>
              </w:tc>
              <w:tc>
                <w:tcPr>
                  <w:tcW w:w="602" w:type="pct"/>
                  <w:tcBorders>
                    <w:bottom w:val="single" w:sz="6" w:space="0" w:color="BFBFBF" w:themeColor="background1" w:themeShade="BF"/>
                  </w:tcBorders>
                  <w:shd w:val="clear" w:color="auto" w:fill="auto"/>
                </w:tcPr>
                <w:p w14:paraId="526EC173" w14:textId="77777777" w:rsidR="00F1203E" w:rsidRPr="009E6F57" w:rsidRDefault="00F1203E" w:rsidP="00414467">
                  <w:pPr>
                    <w:pStyle w:val="TableBodyText"/>
                    <w:ind w:right="28"/>
                    <w:jc w:val="center"/>
                  </w:pPr>
                </w:p>
              </w:tc>
              <w:tc>
                <w:tcPr>
                  <w:tcW w:w="602" w:type="pct"/>
                  <w:tcBorders>
                    <w:bottom w:val="single" w:sz="6" w:space="0" w:color="BFBFBF" w:themeColor="background1" w:themeShade="BF"/>
                  </w:tcBorders>
                </w:tcPr>
                <w:p w14:paraId="7E003B9B" w14:textId="77777777" w:rsidR="00F1203E" w:rsidRPr="009E6F57" w:rsidRDefault="00F1203E" w:rsidP="00414467">
                  <w:pPr>
                    <w:pStyle w:val="TableBodyText"/>
                    <w:ind w:right="28"/>
                    <w:jc w:val="center"/>
                  </w:pPr>
                </w:p>
              </w:tc>
              <w:tc>
                <w:tcPr>
                  <w:tcW w:w="603" w:type="pct"/>
                  <w:tcBorders>
                    <w:bottom w:val="single" w:sz="6" w:space="0" w:color="BFBFBF" w:themeColor="background1" w:themeShade="BF"/>
                  </w:tcBorders>
                </w:tcPr>
                <w:p w14:paraId="69FB998D" w14:textId="77777777" w:rsidR="00F1203E" w:rsidRPr="009E6F57" w:rsidRDefault="00F1203E" w:rsidP="00414467">
                  <w:pPr>
                    <w:pStyle w:val="TableBodyText"/>
                    <w:ind w:right="28"/>
                    <w:jc w:val="center"/>
                  </w:pPr>
                </w:p>
              </w:tc>
              <w:tc>
                <w:tcPr>
                  <w:tcW w:w="1807" w:type="pct"/>
                  <w:gridSpan w:val="3"/>
                  <w:tcBorders>
                    <w:bottom w:val="single" w:sz="6" w:space="0" w:color="BFBFBF" w:themeColor="background1" w:themeShade="BF"/>
                  </w:tcBorders>
                </w:tcPr>
                <w:p w14:paraId="743E93F5" w14:textId="77777777" w:rsidR="00F1203E" w:rsidRPr="00E61F69" w:rsidRDefault="00F1203E" w:rsidP="00414467">
                  <w:pPr>
                    <w:pStyle w:val="TableBodyText"/>
                    <w:spacing w:before="80"/>
                    <w:ind w:right="28"/>
                  </w:pPr>
                  <w:r w:rsidRPr="009E6F57">
                    <w:rPr>
                      <w:szCs w:val="18"/>
                    </w:rPr>
                    <w:t>(continued next page)</w:t>
                  </w:r>
                </w:p>
              </w:tc>
            </w:tr>
          </w:tbl>
          <w:p w14:paraId="7D8CFBE6" w14:textId="77777777" w:rsidR="00F1203E" w:rsidRPr="00C52B8F" w:rsidRDefault="00F1203E" w:rsidP="00414467">
            <w:pPr>
              <w:pStyle w:val="Box"/>
              <w:jc w:val="right"/>
              <w:rPr>
                <w:sz w:val="18"/>
                <w:szCs w:val="18"/>
              </w:rPr>
            </w:pPr>
          </w:p>
        </w:tc>
      </w:tr>
      <w:tr w:rsidR="00F1203E" w14:paraId="5D51A482" w14:textId="77777777" w:rsidTr="00414467">
        <w:tc>
          <w:tcPr>
            <w:tcW w:w="5000" w:type="pct"/>
            <w:tcBorders>
              <w:bottom w:val="single" w:sz="4" w:space="0" w:color="78A22F"/>
            </w:tcBorders>
            <w:shd w:val="clear" w:color="auto" w:fill="auto"/>
          </w:tcPr>
          <w:p w14:paraId="23570B1A" w14:textId="77777777" w:rsidR="00F1203E" w:rsidRDefault="00F1203E" w:rsidP="00414467">
            <w:pPr>
              <w:pStyle w:val="Box"/>
              <w:spacing w:before="0" w:line="120" w:lineRule="exact"/>
            </w:pPr>
          </w:p>
        </w:tc>
      </w:tr>
      <w:tr w:rsidR="00F1203E" w:rsidRPr="000863A5" w14:paraId="2B578ECE" w14:textId="77777777" w:rsidTr="00414467">
        <w:tc>
          <w:tcPr>
            <w:tcW w:w="5000" w:type="pct"/>
            <w:tcBorders>
              <w:top w:val="single" w:sz="4" w:space="0" w:color="78A22F"/>
            </w:tcBorders>
            <w:shd w:val="clear" w:color="auto" w:fill="auto"/>
          </w:tcPr>
          <w:p w14:paraId="2020F4AF" w14:textId="3995E251" w:rsidR="00F1203E" w:rsidRPr="00626D32" w:rsidRDefault="00F1203E" w:rsidP="00414467">
            <w:pPr>
              <w:pStyle w:val="BoxSpaceBelow"/>
            </w:pPr>
          </w:p>
        </w:tc>
      </w:tr>
    </w:tbl>
    <w:p w14:paraId="044AA6CD" w14:textId="46180A74" w:rsidR="00DC1B63" w:rsidRDefault="00DC1B63" w:rsidP="00DC1B6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DC1B63" w14:paraId="3E37B127" w14:textId="77777777" w:rsidTr="00414467">
        <w:trPr>
          <w:tblHeader/>
        </w:trPr>
        <w:tc>
          <w:tcPr>
            <w:tcW w:w="5000" w:type="pct"/>
            <w:tcBorders>
              <w:top w:val="single" w:sz="6" w:space="0" w:color="78A22F"/>
              <w:left w:val="nil"/>
              <w:bottom w:val="nil"/>
              <w:right w:val="nil"/>
            </w:tcBorders>
            <w:shd w:val="clear" w:color="auto" w:fill="auto"/>
          </w:tcPr>
          <w:p w14:paraId="3EEDA74B" w14:textId="065501E5" w:rsidR="00DC1B63" w:rsidRPr="00784A05" w:rsidRDefault="00DC1B63" w:rsidP="00A16D87">
            <w:pPr>
              <w:pStyle w:val="TableTitle"/>
            </w:pPr>
            <w:r>
              <w:rPr>
                <w:b w:val="0"/>
              </w:rPr>
              <w:t>Table 1</w:t>
            </w:r>
            <w:r w:rsidR="00A16D87">
              <w:rPr>
                <w:b w:val="0"/>
              </w:rPr>
              <w:t>8</w:t>
            </w:r>
            <w:r>
              <w:rPr>
                <w:b w:val="0"/>
              </w:rPr>
              <w:t>.3</w:t>
            </w:r>
            <w:r>
              <w:tab/>
            </w:r>
            <w:r w:rsidRPr="001413EB">
              <w:rPr>
                <w:b w:val="0"/>
                <w:sz w:val="18"/>
                <w:szCs w:val="18"/>
              </w:rPr>
              <w:t>(continued)</w:t>
            </w:r>
          </w:p>
        </w:tc>
      </w:tr>
      <w:tr w:rsidR="00DC1B63" w14:paraId="6CF7A90A" w14:textId="77777777" w:rsidTr="0041446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19"/>
              <w:gridCol w:w="1170"/>
              <w:gridCol w:w="1604"/>
              <w:gridCol w:w="1836"/>
              <w:gridCol w:w="1372"/>
              <w:gridCol w:w="1607"/>
              <w:gridCol w:w="1607"/>
              <w:gridCol w:w="1607"/>
              <w:gridCol w:w="1602"/>
            </w:tblGrid>
            <w:tr w:rsidR="00605FE2" w14:paraId="758DA122" w14:textId="77777777" w:rsidTr="00261F8E">
              <w:tc>
                <w:tcPr>
                  <w:tcW w:w="345" w:type="pct"/>
                  <w:tcBorders>
                    <w:top w:val="single" w:sz="6" w:space="0" w:color="BFBFBF" w:themeColor="background1" w:themeShade="BF"/>
                    <w:bottom w:val="single" w:sz="6" w:space="0" w:color="BFBFBF" w:themeColor="background1" w:themeShade="BF"/>
                  </w:tcBorders>
                  <w:shd w:val="clear" w:color="auto" w:fill="auto"/>
                </w:tcPr>
                <w:p w14:paraId="7993F4E3" w14:textId="5CA33C50" w:rsidR="00605FE2" w:rsidRPr="00AF211D" w:rsidRDefault="00605FE2" w:rsidP="00605FE2">
                  <w:pPr>
                    <w:pStyle w:val="TableBodyText"/>
                  </w:pPr>
                  <w:r>
                    <w:tab/>
                  </w:r>
                </w:p>
              </w:tc>
              <w:tc>
                <w:tcPr>
                  <w:tcW w:w="439" w:type="pct"/>
                  <w:tcBorders>
                    <w:top w:val="single" w:sz="6" w:space="0" w:color="BFBFBF" w:themeColor="background1" w:themeShade="BF"/>
                    <w:bottom w:val="single" w:sz="6" w:space="0" w:color="BFBFBF" w:themeColor="background1" w:themeShade="BF"/>
                  </w:tcBorders>
                </w:tcPr>
                <w:p w14:paraId="3C26B2DC" w14:textId="41221EE3" w:rsidR="00605FE2" w:rsidRPr="00261F8E" w:rsidRDefault="00605FE2" w:rsidP="00206AEC">
                  <w:pPr>
                    <w:pStyle w:val="TableBodyText"/>
                    <w:jc w:val="center"/>
                    <w:rPr>
                      <w:i/>
                    </w:rPr>
                  </w:pPr>
                  <w:r w:rsidRPr="00261F8E">
                    <w:rPr>
                      <w:i/>
                    </w:rPr>
                    <w:t>NSW</w:t>
                  </w:r>
                  <w:r w:rsidR="00206AEC">
                    <w:rPr>
                      <w:rStyle w:val="NoteLabel"/>
                    </w:rPr>
                    <w:t>b</w:t>
                  </w:r>
                </w:p>
              </w:tc>
              <w:tc>
                <w:tcPr>
                  <w:tcW w:w="602" w:type="pct"/>
                  <w:tcBorders>
                    <w:top w:val="single" w:sz="6" w:space="0" w:color="BFBFBF" w:themeColor="background1" w:themeShade="BF"/>
                    <w:bottom w:val="single" w:sz="6" w:space="0" w:color="BFBFBF" w:themeColor="background1" w:themeShade="BF"/>
                  </w:tcBorders>
                  <w:shd w:val="clear" w:color="auto" w:fill="auto"/>
                </w:tcPr>
                <w:p w14:paraId="33A86848" w14:textId="6C594233" w:rsidR="00605FE2" w:rsidRPr="00261F8E" w:rsidRDefault="00605FE2" w:rsidP="00206AEC">
                  <w:pPr>
                    <w:pStyle w:val="TableBodyText"/>
                    <w:jc w:val="center"/>
                    <w:rPr>
                      <w:i/>
                    </w:rPr>
                  </w:pPr>
                  <w:r w:rsidRPr="00261F8E">
                    <w:rPr>
                      <w:i/>
                    </w:rPr>
                    <w:t>Vic</w:t>
                  </w:r>
                  <w:r w:rsidR="00206AEC">
                    <w:rPr>
                      <w:rStyle w:val="NoteLabel"/>
                    </w:rPr>
                    <w:t>c</w:t>
                  </w:r>
                </w:p>
              </w:tc>
              <w:tc>
                <w:tcPr>
                  <w:tcW w:w="689" w:type="pct"/>
                  <w:tcBorders>
                    <w:top w:val="single" w:sz="6" w:space="0" w:color="BFBFBF" w:themeColor="background1" w:themeShade="BF"/>
                    <w:bottom w:val="single" w:sz="6" w:space="0" w:color="BFBFBF" w:themeColor="background1" w:themeShade="BF"/>
                  </w:tcBorders>
                  <w:shd w:val="clear" w:color="auto" w:fill="auto"/>
                </w:tcPr>
                <w:p w14:paraId="5EB55B23" w14:textId="171205AB" w:rsidR="00605FE2" w:rsidRPr="00261F8E" w:rsidRDefault="00605FE2" w:rsidP="00206AEC">
                  <w:pPr>
                    <w:pStyle w:val="TableBodyText"/>
                    <w:ind w:right="28"/>
                    <w:jc w:val="center"/>
                    <w:rPr>
                      <w:i/>
                    </w:rPr>
                  </w:pPr>
                  <w:r w:rsidRPr="00261F8E">
                    <w:rPr>
                      <w:i/>
                    </w:rPr>
                    <w:t>Qld</w:t>
                  </w:r>
                  <w:r w:rsidR="00206AEC">
                    <w:rPr>
                      <w:rStyle w:val="NoteLabel"/>
                    </w:rPr>
                    <w:t>d</w:t>
                  </w:r>
                </w:p>
              </w:tc>
              <w:tc>
                <w:tcPr>
                  <w:tcW w:w="515" w:type="pct"/>
                  <w:tcBorders>
                    <w:top w:val="single" w:sz="6" w:space="0" w:color="BFBFBF" w:themeColor="background1" w:themeShade="BF"/>
                    <w:bottom w:val="single" w:sz="6" w:space="0" w:color="BFBFBF" w:themeColor="background1" w:themeShade="BF"/>
                  </w:tcBorders>
                </w:tcPr>
                <w:p w14:paraId="6E762468" w14:textId="0A547A48" w:rsidR="00605FE2" w:rsidRPr="00261F8E" w:rsidRDefault="00605FE2" w:rsidP="00503901">
                  <w:pPr>
                    <w:pStyle w:val="TableBodyText"/>
                    <w:ind w:right="28"/>
                    <w:jc w:val="center"/>
                    <w:rPr>
                      <w:i/>
                    </w:rPr>
                  </w:pPr>
                  <w:r w:rsidRPr="00261F8E">
                    <w:rPr>
                      <w:i/>
                    </w:rPr>
                    <w:t>WA</w:t>
                  </w:r>
                  <w:r w:rsidR="00206AEC">
                    <w:rPr>
                      <w:rStyle w:val="NoteLabel"/>
                    </w:rPr>
                    <w:t>e</w:t>
                  </w:r>
                </w:p>
              </w:tc>
              <w:tc>
                <w:tcPr>
                  <w:tcW w:w="603" w:type="pct"/>
                  <w:tcBorders>
                    <w:top w:val="single" w:sz="6" w:space="0" w:color="BFBFBF" w:themeColor="background1" w:themeShade="BF"/>
                    <w:bottom w:val="single" w:sz="6" w:space="0" w:color="BFBFBF" w:themeColor="background1" w:themeShade="BF"/>
                  </w:tcBorders>
                </w:tcPr>
                <w:p w14:paraId="455F89B1" w14:textId="29E768EB" w:rsidR="00605FE2" w:rsidRPr="00261F8E" w:rsidRDefault="00605FE2" w:rsidP="00206AEC">
                  <w:pPr>
                    <w:pStyle w:val="TableBodyText"/>
                    <w:ind w:right="28"/>
                    <w:jc w:val="center"/>
                    <w:rPr>
                      <w:i/>
                    </w:rPr>
                  </w:pPr>
                  <w:r w:rsidRPr="00261F8E">
                    <w:rPr>
                      <w:i/>
                    </w:rPr>
                    <w:t>SA</w:t>
                  </w:r>
                  <w:r w:rsidR="00206AEC">
                    <w:rPr>
                      <w:rStyle w:val="NoteLabel"/>
                    </w:rPr>
                    <w:t>f</w:t>
                  </w:r>
                </w:p>
              </w:tc>
              <w:tc>
                <w:tcPr>
                  <w:tcW w:w="603" w:type="pct"/>
                  <w:tcBorders>
                    <w:top w:val="single" w:sz="6" w:space="0" w:color="BFBFBF" w:themeColor="background1" w:themeShade="BF"/>
                    <w:bottom w:val="single" w:sz="6" w:space="0" w:color="BFBFBF" w:themeColor="background1" w:themeShade="BF"/>
                  </w:tcBorders>
                </w:tcPr>
                <w:p w14:paraId="7D3211F4" w14:textId="75E3C039" w:rsidR="00605FE2" w:rsidRPr="00261F8E" w:rsidRDefault="00605FE2" w:rsidP="00206AEC">
                  <w:pPr>
                    <w:pStyle w:val="TableBodyText"/>
                    <w:ind w:right="28"/>
                    <w:jc w:val="center"/>
                    <w:rPr>
                      <w:i/>
                    </w:rPr>
                  </w:pPr>
                  <w:r w:rsidRPr="00261F8E">
                    <w:rPr>
                      <w:i/>
                    </w:rPr>
                    <w:t>T</w:t>
                  </w:r>
                  <w:r w:rsidR="00503901">
                    <w:rPr>
                      <w:i/>
                    </w:rPr>
                    <w:t>as</w:t>
                  </w:r>
                  <w:r w:rsidR="00206AEC">
                    <w:rPr>
                      <w:rStyle w:val="NoteLabel"/>
                    </w:rPr>
                    <w:t>g</w:t>
                  </w:r>
                </w:p>
              </w:tc>
              <w:tc>
                <w:tcPr>
                  <w:tcW w:w="603" w:type="pct"/>
                  <w:tcBorders>
                    <w:top w:val="single" w:sz="6" w:space="0" w:color="BFBFBF" w:themeColor="background1" w:themeShade="BF"/>
                    <w:bottom w:val="single" w:sz="6" w:space="0" w:color="BFBFBF" w:themeColor="background1" w:themeShade="BF"/>
                  </w:tcBorders>
                </w:tcPr>
                <w:p w14:paraId="04E7C8DD" w14:textId="0478487B" w:rsidR="00605FE2" w:rsidRPr="00261F8E" w:rsidRDefault="00605FE2" w:rsidP="00206AEC">
                  <w:pPr>
                    <w:pStyle w:val="TableBodyText"/>
                    <w:ind w:right="28"/>
                    <w:jc w:val="center"/>
                    <w:rPr>
                      <w:i/>
                    </w:rPr>
                  </w:pPr>
                  <w:r w:rsidRPr="00261F8E">
                    <w:rPr>
                      <w:i/>
                    </w:rPr>
                    <w:t>ACT</w:t>
                  </w:r>
                  <w:r w:rsidR="00206AEC">
                    <w:rPr>
                      <w:rStyle w:val="NoteLabel"/>
                    </w:rPr>
                    <w:t>h</w:t>
                  </w:r>
                </w:p>
              </w:tc>
              <w:tc>
                <w:tcPr>
                  <w:tcW w:w="601" w:type="pct"/>
                  <w:tcBorders>
                    <w:top w:val="single" w:sz="6" w:space="0" w:color="BFBFBF" w:themeColor="background1" w:themeShade="BF"/>
                    <w:bottom w:val="single" w:sz="6" w:space="0" w:color="BFBFBF" w:themeColor="background1" w:themeShade="BF"/>
                  </w:tcBorders>
                </w:tcPr>
                <w:p w14:paraId="4B116647" w14:textId="7909A153" w:rsidR="00605FE2" w:rsidRPr="00261F8E" w:rsidRDefault="00605FE2" w:rsidP="00261F8E">
                  <w:pPr>
                    <w:pStyle w:val="TableBodyText"/>
                    <w:ind w:right="28"/>
                    <w:jc w:val="center"/>
                    <w:rPr>
                      <w:i/>
                    </w:rPr>
                  </w:pPr>
                  <w:r w:rsidRPr="00261F8E">
                    <w:rPr>
                      <w:i/>
                    </w:rPr>
                    <w:t>NT</w:t>
                  </w:r>
                </w:p>
              </w:tc>
            </w:tr>
            <w:tr w:rsidR="0069445A" w14:paraId="67E7D805" w14:textId="77777777" w:rsidTr="00261F8E">
              <w:tc>
                <w:tcPr>
                  <w:tcW w:w="345" w:type="pct"/>
                  <w:tcBorders>
                    <w:top w:val="single" w:sz="6" w:space="0" w:color="BFBFBF" w:themeColor="background1" w:themeShade="BF"/>
                  </w:tcBorders>
                  <w:shd w:val="clear" w:color="auto" w:fill="auto"/>
                </w:tcPr>
                <w:p w14:paraId="6C542493" w14:textId="47DFFDEC" w:rsidR="0069445A" w:rsidRPr="00AF211D" w:rsidRDefault="0069445A" w:rsidP="00414467">
                  <w:pPr>
                    <w:pStyle w:val="TableBodyText"/>
                    <w:jc w:val="left"/>
                  </w:pPr>
                  <w:r w:rsidRPr="00D7406B">
                    <w:rPr>
                      <w:b/>
                    </w:rPr>
                    <w:t>Tenure</w:t>
                  </w:r>
                </w:p>
              </w:tc>
              <w:tc>
                <w:tcPr>
                  <w:tcW w:w="439" w:type="pct"/>
                  <w:tcBorders>
                    <w:top w:val="single" w:sz="6" w:space="0" w:color="BFBFBF" w:themeColor="background1" w:themeShade="BF"/>
                  </w:tcBorders>
                </w:tcPr>
                <w:p w14:paraId="730BFEAE" w14:textId="77777777" w:rsidR="0069445A" w:rsidRDefault="0069445A" w:rsidP="00414467">
                  <w:pPr>
                    <w:pStyle w:val="TableBodyText"/>
                    <w:jc w:val="center"/>
                  </w:pPr>
                </w:p>
              </w:tc>
              <w:tc>
                <w:tcPr>
                  <w:tcW w:w="602" w:type="pct"/>
                  <w:tcBorders>
                    <w:top w:val="single" w:sz="6" w:space="0" w:color="BFBFBF" w:themeColor="background1" w:themeShade="BF"/>
                  </w:tcBorders>
                  <w:shd w:val="clear" w:color="auto" w:fill="auto"/>
                </w:tcPr>
                <w:p w14:paraId="2E364CFA" w14:textId="77777777" w:rsidR="0069445A" w:rsidRDefault="0069445A" w:rsidP="00C86DED">
                  <w:pPr>
                    <w:pStyle w:val="TableBodyText"/>
                    <w:jc w:val="center"/>
                  </w:pPr>
                </w:p>
              </w:tc>
              <w:tc>
                <w:tcPr>
                  <w:tcW w:w="689" w:type="pct"/>
                  <w:tcBorders>
                    <w:top w:val="single" w:sz="6" w:space="0" w:color="BFBFBF" w:themeColor="background1" w:themeShade="BF"/>
                  </w:tcBorders>
                  <w:shd w:val="clear" w:color="auto" w:fill="auto"/>
                </w:tcPr>
                <w:p w14:paraId="7433DEB8" w14:textId="77777777" w:rsidR="0069445A" w:rsidRPr="00DC1B63" w:rsidRDefault="0069445A" w:rsidP="00414467">
                  <w:pPr>
                    <w:pStyle w:val="TableBodyText"/>
                    <w:ind w:right="28"/>
                    <w:jc w:val="center"/>
                  </w:pPr>
                </w:p>
              </w:tc>
              <w:tc>
                <w:tcPr>
                  <w:tcW w:w="515" w:type="pct"/>
                  <w:tcBorders>
                    <w:top w:val="single" w:sz="6" w:space="0" w:color="BFBFBF" w:themeColor="background1" w:themeShade="BF"/>
                  </w:tcBorders>
                </w:tcPr>
                <w:p w14:paraId="04F43920" w14:textId="77777777" w:rsidR="0069445A" w:rsidRPr="00E61F69" w:rsidRDefault="0069445A" w:rsidP="00414467">
                  <w:pPr>
                    <w:pStyle w:val="TableBodyText"/>
                    <w:ind w:right="28"/>
                    <w:jc w:val="center"/>
                  </w:pPr>
                </w:p>
              </w:tc>
              <w:tc>
                <w:tcPr>
                  <w:tcW w:w="603" w:type="pct"/>
                  <w:tcBorders>
                    <w:top w:val="single" w:sz="6" w:space="0" w:color="BFBFBF" w:themeColor="background1" w:themeShade="BF"/>
                  </w:tcBorders>
                </w:tcPr>
                <w:p w14:paraId="284032E7" w14:textId="77777777" w:rsidR="0069445A" w:rsidRPr="00E61F69" w:rsidRDefault="0069445A" w:rsidP="00414467">
                  <w:pPr>
                    <w:pStyle w:val="TableBodyText"/>
                    <w:ind w:right="28"/>
                    <w:jc w:val="center"/>
                  </w:pPr>
                </w:p>
              </w:tc>
              <w:tc>
                <w:tcPr>
                  <w:tcW w:w="603" w:type="pct"/>
                  <w:tcBorders>
                    <w:top w:val="single" w:sz="6" w:space="0" w:color="BFBFBF" w:themeColor="background1" w:themeShade="BF"/>
                  </w:tcBorders>
                </w:tcPr>
                <w:p w14:paraId="41ED9D30" w14:textId="77777777" w:rsidR="0069445A" w:rsidRPr="00605FE2" w:rsidRDefault="0069445A" w:rsidP="00414467">
                  <w:pPr>
                    <w:pStyle w:val="TableBodyText"/>
                    <w:ind w:right="28"/>
                    <w:jc w:val="center"/>
                    <w:rPr>
                      <w:szCs w:val="18"/>
                    </w:rPr>
                  </w:pPr>
                </w:p>
              </w:tc>
              <w:tc>
                <w:tcPr>
                  <w:tcW w:w="603" w:type="pct"/>
                  <w:tcBorders>
                    <w:top w:val="single" w:sz="6" w:space="0" w:color="BFBFBF" w:themeColor="background1" w:themeShade="BF"/>
                  </w:tcBorders>
                </w:tcPr>
                <w:p w14:paraId="53B40909" w14:textId="77777777" w:rsidR="0069445A" w:rsidRPr="00E61F69" w:rsidRDefault="0069445A" w:rsidP="00414467">
                  <w:pPr>
                    <w:pStyle w:val="TableBodyText"/>
                    <w:ind w:right="28"/>
                    <w:jc w:val="center"/>
                  </w:pPr>
                </w:p>
              </w:tc>
              <w:tc>
                <w:tcPr>
                  <w:tcW w:w="601" w:type="pct"/>
                  <w:tcBorders>
                    <w:top w:val="single" w:sz="6" w:space="0" w:color="BFBFBF" w:themeColor="background1" w:themeShade="BF"/>
                  </w:tcBorders>
                </w:tcPr>
                <w:p w14:paraId="3CCB8CDD" w14:textId="77777777" w:rsidR="0069445A" w:rsidRPr="00F21C5A" w:rsidRDefault="0069445A" w:rsidP="00414467">
                  <w:pPr>
                    <w:pStyle w:val="TableBodyText"/>
                    <w:ind w:right="28"/>
                    <w:jc w:val="center"/>
                  </w:pPr>
                </w:p>
              </w:tc>
            </w:tr>
            <w:tr w:rsidR="00414467" w14:paraId="305A04D8" w14:textId="77777777" w:rsidTr="005D6510">
              <w:tc>
                <w:tcPr>
                  <w:tcW w:w="345" w:type="pct"/>
                  <w:shd w:val="clear" w:color="auto" w:fill="auto"/>
                </w:tcPr>
                <w:p w14:paraId="556B9268" w14:textId="77777777" w:rsidR="00414467" w:rsidRPr="00AF211D" w:rsidRDefault="00414467" w:rsidP="00414467">
                  <w:pPr>
                    <w:pStyle w:val="TableBodyText"/>
                    <w:jc w:val="left"/>
                  </w:pPr>
                  <w:r w:rsidRPr="00AF211D">
                    <w:t>Probation period</w:t>
                  </w:r>
                </w:p>
              </w:tc>
              <w:tc>
                <w:tcPr>
                  <w:tcW w:w="439" w:type="pct"/>
                </w:tcPr>
                <w:p w14:paraId="1ADC7FC4" w14:textId="332B3A1C" w:rsidR="00414467" w:rsidRPr="00DC2D26" w:rsidRDefault="00414467" w:rsidP="00414467">
                  <w:pPr>
                    <w:pStyle w:val="TableBodyText"/>
                    <w:jc w:val="center"/>
                  </w:pPr>
                  <w:r>
                    <w:t>Nil</w:t>
                  </w:r>
                </w:p>
              </w:tc>
              <w:tc>
                <w:tcPr>
                  <w:tcW w:w="602" w:type="pct"/>
                  <w:shd w:val="clear" w:color="auto" w:fill="auto"/>
                </w:tcPr>
                <w:p w14:paraId="6A23B16C" w14:textId="128C54D3" w:rsidR="00C86DED" w:rsidRPr="00DC2D26" w:rsidRDefault="00C86DED" w:rsidP="00C86DED">
                  <w:pPr>
                    <w:pStyle w:val="TableBodyText"/>
                    <w:jc w:val="center"/>
                  </w:pPr>
                  <w:r>
                    <w:t>Community housing organisation’s (CHO) policy</w:t>
                  </w:r>
                  <w:r w:rsidR="00402B70">
                    <w:noBreakHyphen/>
                  </w:r>
                  <w:r>
                    <w:t>based.</w:t>
                  </w:r>
                </w:p>
                <w:p w14:paraId="181E4FD5" w14:textId="5A117AB6" w:rsidR="00414467" w:rsidRPr="00DC2D26" w:rsidRDefault="00414467" w:rsidP="00414467">
                  <w:pPr>
                    <w:pStyle w:val="TableBodyText"/>
                    <w:jc w:val="center"/>
                  </w:pPr>
                </w:p>
              </w:tc>
              <w:tc>
                <w:tcPr>
                  <w:tcW w:w="689" w:type="pct"/>
                  <w:shd w:val="clear" w:color="auto" w:fill="auto"/>
                </w:tcPr>
                <w:p w14:paraId="5DE958BF" w14:textId="275E94EB" w:rsidR="00414467" w:rsidRPr="00DC2D26" w:rsidRDefault="00402B70" w:rsidP="00414467">
                  <w:pPr>
                    <w:pStyle w:val="TableBodyText"/>
                    <w:ind w:right="28"/>
                    <w:jc w:val="center"/>
                  </w:pPr>
                  <w:r>
                    <w:t xml:space="preserve">At the discretion </w:t>
                  </w:r>
                  <w:r w:rsidR="00414467" w:rsidRPr="00DC1B63">
                    <w:t>of the provider</w:t>
                  </w:r>
                </w:p>
              </w:tc>
              <w:tc>
                <w:tcPr>
                  <w:tcW w:w="515" w:type="pct"/>
                </w:tcPr>
                <w:p w14:paraId="5BFE8455" w14:textId="77777777" w:rsidR="00414467" w:rsidRPr="00DC2D26" w:rsidRDefault="00414467" w:rsidP="00414467">
                  <w:pPr>
                    <w:pStyle w:val="TableBodyText"/>
                    <w:ind w:right="28"/>
                    <w:jc w:val="center"/>
                  </w:pPr>
                  <w:r w:rsidRPr="00E61F69">
                    <w:t>None</w:t>
                  </w:r>
                </w:p>
              </w:tc>
              <w:tc>
                <w:tcPr>
                  <w:tcW w:w="603" w:type="pct"/>
                </w:tcPr>
                <w:p w14:paraId="4E278EC3" w14:textId="3BAEE05B" w:rsidR="00414467" w:rsidRPr="00DC2D26" w:rsidRDefault="00414467" w:rsidP="007D6BA8">
                  <w:pPr>
                    <w:pStyle w:val="TableBodyText"/>
                    <w:ind w:right="28"/>
                    <w:jc w:val="center"/>
                  </w:pPr>
                  <w:r w:rsidRPr="00E61F69">
                    <w:t>12 months (up to 24</w:t>
                  </w:r>
                  <w:r w:rsidR="007D6BA8">
                    <w:t> </w:t>
                  </w:r>
                  <w:r w:rsidRPr="00E61F69">
                    <w:t>months where required)</w:t>
                  </w:r>
                </w:p>
              </w:tc>
              <w:tc>
                <w:tcPr>
                  <w:tcW w:w="603" w:type="pct"/>
                </w:tcPr>
                <w:p w14:paraId="5E9CBF88" w14:textId="769D7A14" w:rsidR="00414467" w:rsidRPr="00605FE2" w:rsidRDefault="00414467" w:rsidP="00414467">
                  <w:pPr>
                    <w:pStyle w:val="TableBodyText"/>
                    <w:ind w:right="28"/>
                    <w:jc w:val="center"/>
                    <w:rPr>
                      <w:szCs w:val="18"/>
                    </w:rPr>
                  </w:pPr>
                  <w:r w:rsidRPr="00605FE2">
                    <w:rPr>
                      <w:szCs w:val="18"/>
                    </w:rPr>
                    <w:t>Varies across community housing providers</w:t>
                  </w:r>
                </w:p>
              </w:tc>
              <w:tc>
                <w:tcPr>
                  <w:tcW w:w="603" w:type="pct"/>
                </w:tcPr>
                <w:p w14:paraId="3E6CA570" w14:textId="77777777" w:rsidR="00414467" w:rsidRPr="00DC2D26" w:rsidRDefault="00414467" w:rsidP="00414467">
                  <w:pPr>
                    <w:pStyle w:val="TableBodyText"/>
                    <w:ind w:right="28"/>
                    <w:jc w:val="center"/>
                  </w:pPr>
                  <w:r w:rsidRPr="00E61F69">
                    <w:t>None</w:t>
                  </w:r>
                </w:p>
              </w:tc>
              <w:tc>
                <w:tcPr>
                  <w:tcW w:w="601" w:type="pct"/>
                </w:tcPr>
                <w:p w14:paraId="69139C24" w14:textId="39755827" w:rsidR="00414467" w:rsidRPr="00DC2D26" w:rsidRDefault="00414467" w:rsidP="00414467">
                  <w:pPr>
                    <w:pStyle w:val="TableBodyText"/>
                    <w:ind w:right="28"/>
                    <w:jc w:val="center"/>
                  </w:pPr>
                  <w:r w:rsidRPr="00F21C5A">
                    <w:t>na</w:t>
                  </w:r>
                </w:p>
              </w:tc>
            </w:tr>
            <w:tr w:rsidR="00414467" w14:paraId="7F700258" w14:textId="77777777" w:rsidTr="005D6510">
              <w:tc>
                <w:tcPr>
                  <w:tcW w:w="345" w:type="pct"/>
                  <w:shd w:val="clear" w:color="auto" w:fill="auto"/>
                </w:tcPr>
                <w:p w14:paraId="08789E4D" w14:textId="77777777" w:rsidR="00414467" w:rsidRDefault="00414467" w:rsidP="00414467">
                  <w:pPr>
                    <w:pStyle w:val="TableBodyText"/>
                    <w:jc w:val="left"/>
                  </w:pPr>
                  <w:r w:rsidRPr="00AF211D">
                    <w:t>Fixed term</w:t>
                  </w:r>
                </w:p>
              </w:tc>
              <w:tc>
                <w:tcPr>
                  <w:tcW w:w="439" w:type="pct"/>
                </w:tcPr>
                <w:p w14:paraId="165D9C8F" w14:textId="655999C3" w:rsidR="00414467" w:rsidRDefault="00414467" w:rsidP="00414467">
                  <w:pPr>
                    <w:pStyle w:val="TableBodyText"/>
                    <w:jc w:val="center"/>
                  </w:pPr>
                  <w:r>
                    <w:t>Continuous</w:t>
                  </w:r>
                </w:p>
              </w:tc>
              <w:tc>
                <w:tcPr>
                  <w:tcW w:w="602" w:type="pct"/>
                  <w:shd w:val="clear" w:color="auto" w:fill="auto"/>
                </w:tcPr>
                <w:p w14:paraId="204BD059" w14:textId="5DECD35B" w:rsidR="00414467" w:rsidRDefault="00C86DED" w:rsidP="00402B70">
                  <w:pPr>
                    <w:pStyle w:val="TableBodyText"/>
                    <w:jc w:val="center"/>
                  </w:pPr>
                  <w:r>
                    <w:t>CHO</w:t>
                  </w:r>
                  <w:r w:rsidR="00402B70">
                    <w:t xml:space="preserve"> policy</w:t>
                  </w:r>
                  <w:r w:rsidR="00402B70">
                    <w:noBreakHyphen/>
                  </w:r>
                  <w:r>
                    <w:t>based</w:t>
                  </w:r>
                </w:p>
              </w:tc>
              <w:tc>
                <w:tcPr>
                  <w:tcW w:w="689" w:type="pct"/>
                  <w:shd w:val="clear" w:color="auto" w:fill="auto"/>
                </w:tcPr>
                <w:p w14:paraId="1784BB3B" w14:textId="242D2FC0" w:rsidR="00414467" w:rsidRDefault="007227BE" w:rsidP="00A92214">
                  <w:pPr>
                    <w:pStyle w:val="TableBodyText"/>
                    <w:ind w:right="28"/>
                    <w:jc w:val="center"/>
                  </w:pPr>
                  <w:r w:rsidRPr="000C05DC">
                    <w:t>Duration of Need</w:t>
                  </w:r>
                  <w:r w:rsidRPr="007227BE">
                    <w:rPr>
                      <w:shd w:val="clear" w:color="auto" w:fill="FFFF00"/>
                    </w:rPr>
                    <w:t xml:space="preserve"> </w:t>
                  </w:r>
                  <w:r w:rsidRPr="000C05DC">
                    <w:t>policy</w:t>
                  </w:r>
                  <w:r w:rsidR="00A92214">
                    <w:noBreakHyphen/>
                  </w:r>
                  <w:r w:rsidR="006B4327" w:rsidRPr="000C05DC">
                    <w:t>based</w:t>
                  </w:r>
                </w:p>
              </w:tc>
              <w:tc>
                <w:tcPr>
                  <w:tcW w:w="515" w:type="pct"/>
                </w:tcPr>
                <w:p w14:paraId="5A0F7231" w14:textId="77777777" w:rsidR="00414467" w:rsidRDefault="00414467" w:rsidP="00414467">
                  <w:pPr>
                    <w:pStyle w:val="TableBodyText"/>
                    <w:ind w:right="28"/>
                    <w:jc w:val="center"/>
                  </w:pPr>
                  <w:r w:rsidRPr="00DC2D26">
                    <w:t>3 and 6 months</w:t>
                  </w:r>
                </w:p>
              </w:tc>
              <w:tc>
                <w:tcPr>
                  <w:tcW w:w="603" w:type="pct"/>
                </w:tcPr>
                <w:p w14:paraId="1D9C9EA4" w14:textId="2CDA48B7" w:rsidR="00414467" w:rsidRDefault="00414467" w:rsidP="007D6BA8">
                  <w:pPr>
                    <w:pStyle w:val="TableBodyText"/>
                    <w:ind w:right="28"/>
                    <w:jc w:val="center"/>
                  </w:pPr>
                  <w:r>
                    <w:t>Up to</w:t>
                  </w:r>
                  <w:r w:rsidRPr="00DC2D26">
                    <w:t xml:space="preserve"> 10</w:t>
                  </w:r>
                  <w:r w:rsidR="007D6BA8">
                    <w:t> </w:t>
                  </w:r>
                  <w:r w:rsidRPr="00DC2D26">
                    <w:t>years</w:t>
                  </w:r>
                </w:p>
              </w:tc>
              <w:tc>
                <w:tcPr>
                  <w:tcW w:w="603" w:type="pct"/>
                </w:tcPr>
                <w:p w14:paraId="1C7EAF14" w14:textId="16DAB8A9" w:rsidR="00414467" w:rsidRPr="00605FE2" w:rsidRDefault="00414467" w:rsidP="00414467">
                  <w:pPr>
                    <w:pStyle w:val="TableBodyText"/>
                    <w:ind w:right="28"/>
                    <w:jc w:val="center"/>
                    <w:rPr>
                      <w:szCs w:val="18"/>
                    </w:rPr>
                  </w:pPr>
                  <w:r w:rsidRPr="00605FE2">
                    <w:rPr>
                      <w:rFonts w:eastAsia="Arial" w:cs="Arial"/>
                      <w:szCs w:val="18"/>
                      <w:lang w:bidi="en-AU"/>
                    </w:rPr>
                    <w:t>V</w:t>
                  </w:r>
                  <w:r w:rsidRPr="00605FE2">
                    <w:rPr>
                      <w:szCs w:val="18"/>
                    </w:rPr>
                    <w:t>aries across community housing providers</w:t>
                  </w:r>
                </w:p>
              </w:tc>
              <w:tc>
                <w:tcPr>
                  <w:tcW w:w="603" w:type="pct"/>
                </w:tcPr>
                <w:p w14:paraId="430F6044" w14:textId="6AC9465E" w:rsidR="00414467" w:rsidRDefault="00414467" w:rsidP="00414467">
                  <w:pPr>
                    <w:pStyle w:val="TableBodyText"/>
                    <w:ind w:right="28"/>
                    <w:jc w:val="center"/>
                  </w:pPr>
                  <w:r w:rsidRPr="00E61F69">
                    <w:t>None</w:t>
                  </w:r>
                </w:p>
              </w:tc>
              <w:tc>
                <w:tcPr>
                  <w:tcW w:w="601" w:type="pct"/>
                </w:tcPr>
                <w:p w14:paraId="3FECEDEA" w14:textId="1AEB681B" w:rsidR="00414467" w:rsidRDefault="00414467" w:rsidP="00414467">
                  <w:pPr>
                    <w:pStyle w:val="TableBodyText"/>
                    <w:ind w:right="28"/>
                    <w:jc w:val="center"/>
                  </w:pPr>
                  <w:r w:rsidRPr="00F21C5A">
                    <w:t>na</w:t>
                  </w:r>
                </w:p>
              </w:tc>
            </w:tr>
            <w:tr w:rsidR="00414467" w14:paraId="34775E1D" w14:textId="77777777" w:rsidTr="005D6510">
              <w:tc>
                <w:tcPr>
                  <w:tcW w:w="345" w:type="pct"/>
                  <w:shd w:val="clear" w:color="auto" w:fill="auto"/>
                </w:tcPr>
                <w:p w14:paraId="0716F018" w14:textId="77777777" w:rsidR="00414467" w:rsidRDefault="00414467" w:rsidP="00414467">
                  <w:pPr>
                    <w:pStyle w:val="TableBodyText"/>
                    <w:jc w:val="left"/>
                  </w:pPr>
                  <w:r w:rsidRPr="00AF211D">
                    <w:t>Ongoing</w:t>
                  </w:r>
                </w:p>
              </w:tc>
              <w:tc>
                <w:tcPr>
                  <w:tcW w:w="439" w:type="pct"/>
                </w:tcPr>
                <w:p w14:paraId="16058198" w14:textId="77777777" w:rsidR="00414467" w:rsidRDefault="00414467" w:rsidP="00414467">
                  <w:pPr>
                    <w:pStyle w:val="TableBodyText"/>
                    <w:jc w:val="center"/>
                  </w:pPr>
                  <w:r w:rsidRPr="009B7D35">
                    <w:t>Yes</w:t>
                  </w:r>
                </w:p>
              </w:tc>
              <w:tc>
                <w:tcPr>
                  <w:tcW w:w="602" w:type="pct"/>
                  <w:shd w:val="clear" w:color="auto" w:fill="auto"/>
                </w:tcPr>
                <w:p w14:paraId="6C495286" w14:textId="3A33B8D8" w:rsidR="00414467" w:rsidRDefault="00C86DED" w:rsidP="00402B70">
                  <w:pPr>
                    <w:pStyle w:val="TableBodyText"/>
                    <w:jc w:val="center"/>
                  </w:pPr>
                  <w:r>
                    <w:t>CHO policy</w:t>
                  </w:r>
                  <w:r w:rsidR="00402B70">
                    <w:noBreakHyphen/>
                  </w:r>
                  <w:r>
                    <w:t>based</w:t>
                  </w:r>
                </w:p>
              </w:tc>
              <w:tc>
                <w:tcPr>
                  <w:tcW w:w="689" w:type="pct"/>
                  <w:shd w:val="clear" w:color="auto" w:fill="auto"/>
                </w:tcPr>
                <w:p w14:paraId="53EFC242" w14:textId="77777777" w:rsidR="00414467" w:rsidRDefault="00414467" w:rsidP="00414467">
                  <w:pPr>
                    <w:pStyle w:val="TableBodyText"/>
                    <w:ind w:right="28"/>
                    <w:jc w:val="center"/>
                  </w:pPr>
                  <w:r w:rsidRPr="009B7D35">
                    <w:t>Subject to review</w:t>
                  </w:r>
                </w:p>
              </w:tc>
              <w:tc>
                <w:tcPr>
                  <w:tcW w:w="515" w:type="pct"/>
                </w:tcPr>
                <w:p w14:paraId="2FFC4741" w14:textId="77777777" w:rsidR="00414467" w:rsidRDefault="00414467" w:rsidP="00414467">
                  <w:pPr>
                    <w:pStyle w:val="TableBodyText"/>
                    <w:ind w:right="28"/>
                    <w:jc w:val="center"/>
                  </w:pPr>
                  <w:r w:rsidRPr="009B7D35">
                    <w:t>Ongoing</w:t>
                  </w:r>
                </w:p>
              </w:tc>
              <w:tc>
                <w:tcPr>
                  <w:tcW w:w="603" w:type="pct"/>
                </w:tcPr>
                <w:p w14:paraId="7C4643F4" w14:textId="0DB94EE1" w:rsidR="00414467" w:rsidRDefault="00414467" w:rsidP="007D6BA8">
                  <w:pPr>
                    <w:pStyle w:val="TableBodyText"/>
                    <w:ind w:right="28"/>
                    <w:jc w:val="center"/>
                  </w:pPr>
                  <w:r w:rsidRPr="009B7D35">
                    <w:t>Ongoing leases only apply to tenants housed before 1</w:t>
                  </w:r>
                  <w:r w:rsidR="007D6BA8">
                    <w:t> </w:t>
                  </w:r>
                  <w:r w:rsidRPr="009B7D35">
                    <w:t>October 2010</w:t>
                  </w:r>
                </w:p>
              </w:tc>
              <w:tc>
                <w:tcPr>
                  <w:tcW w:w="603" w:type="pct"/>
                </w:tcPr>
                <w:p w14:paraId="2EA9E273" w14:textId="32F0C479" w:rsidR="00414467" w:rsidRPr="00605FE2" w:rsidRDefault="00414467" w:rsidP="00414467">
                  <w:pPr>
                    <w:pStyle w:val="TableBodyText"/>
                    <w:ind w:right="28"/>
                    <w:jc w:val="center"/>
                    <w:rPr>
                      <w:szCs w:val="18"/>
                    </w:rPr>
                  </w:pPr>
                  <w:r w:rsidRPr="00605FE2">
                    <w:rPr>
                      <w:szCs w:val="18"/>
                    </w:rPr>
                    <w:t>Varies across community housing providers</w:t>
                  </w:r>
                </w:p>
              </w:tc>
              <w:tc>
                <w:tcPr>
                  <w:tcW w:w="603" w:type="pct"/>
                </w:tcPr>
                <w:p w14:paraId="46612487" w14:textId="77777777" w:rsidR="00414467" w:rsidRDefault="00414467" w:rsidP="00414467">
                  <w:pPr>
                    <w:pStyle w:val="TableBodyText"/>
                    <w:ind w:right="28"/>
                    <w:jc w:val="center"/>
                  </w:pPr>
                  <w:r w:rsidRPr="009B7D35">
                    <w:t>Yes</w:t>
                  </w:r>
                </w:p>
              </w:tc>
              <w:tc>
                <w:tcPr>
                  <w:tcW w:w="601" w:type="pct"/>
                </w:tcPr>
                <w:p w14:paraId="17C32537" w14:textId="72F2EF63" w:rsidR="00414467" w:rsidRDefault="00414467" w:rsidP="00414467">
                  <w:pPr>
                    <w:pStyle w:val="TableBodyText"/>
                    <w:ind w:right="28"/>
                    <w:jc w:val="center"/>
                  </w:pPr>
                  <w:r w:rsidRPr="00F21C5A">
                    <w:t>na</w:t>
                  </w:r>
                </w:p>
              </w:tc>
            </w:tr>
            <w:tr w:rsidR="00414467" w14:paraId="6E53A075" w14:textId="77777777" w:rsidTr="005D6510">
              <w:tc>
                <w:tcPr>
                  <w:tcW w:w="345" w:type="pct"/>
                  <w:shd w:val="clear" w:color="auto" w:fill="auto"/>
                </w:tcPr>
                <w:p w14:paraId="62623BAD" w14:textId="77777777" w:rsidR="00414467" w:rsidRDefault="00414467" w:rsidP="00414467">
                  <w:pPr>
                    <w:pStyle w:val="TableBodyText"/>
                    <w:jc w:val="left"/>
                  </w:pPr>
                  <w:r w:rsidRPr="00D7406B">
                    <w:t>Tenancy review</w:t>
                  </w:r>
                  <w:r w:rsidRPr="00D7406B">
                    <w:tab/>
                  </w:r>
                  <w:r w:rsidRPr="00D7406B">
                    <w:tab/>
                  </w:r>
                  <w:r w:rsidRPr="00D7406B">
                    <w:tab/>
                  </w:r>
                </w:p>
              </w:tc>
              <w:tc>
                <w:tcPr>
                  <w:tcW w:w="439" w:type="pct"/>
                </w:tcPr>
                <w:p w14:paraId="6D983E14" w14:textId="09D8B9AD" w:rsidR="00414467" w:rsidRDefault="00414467" w:rsidP="00414467">
                  <w:pPr>
                    <w:pStyle w:val="TableBodyText"/>
                    <w:jc w:val="center"/>
                  </w:pPr>
                  <w:r>
                    <w:t>No</w:t>
                  </w:r>
                </w:p>
              </w:tc>
              <w:tc>
                <w:tcPr>
                  <w:tcW w:w="602" w:type="pct"/>
                  <w:shd w:val="clear" w:color="auto" w:fill="auto"/>
                </w:tcPr>
                <w:p w14:paraId="04926421" w14:textId="2EE4A5EE" w:rsidR="00414467" w:rsidRDefault="00C86DED" w:rsidP="00402B70">
                  <w:pPr>
                    <w:pStyle w:val="TableBodyText"/>
                    <w:jc w:val="center"/>
                  </w:pPr>
                  <w:r>
                    <w:t>CHO policy</w:t>
                  </w:r>
                  <w:r w:rsidR="00402B70">
                    <w:noBreakHyphen/>
                  </w:r>
                  <w:r>
                    <w:t>based</w:t>
                  </w:r>
                </w:p>
              </w:tc>
              <w:tc>
                <w:tcPr>
                  <w:tcW w:w="689" w:type="pct"/>
                  <w:shd w:val="clear" w:color="auto" w:fill="auto"/>
                </w:tcPr>
                <w:p w14:paraId="7F17F7F6" w14:textId="4749EA6A" w:rsidR="00414467" w:rsidRDefault="00414467" w:rsidP="00414467">
                  <w:pPr>
                    <w:pStyle w:val="TableBodyText"/>
                    <w:ind w:right="28"/>
                    <w:jc w:val="center"/>
                  </w:pPr>
                  <w:r>
                    <w:t>Based on ongoing need</w:t>
                  </w:r>
                </w:p>
              </w:tc>
              <w:tc>
                <w:tcPr>
                  <w:tcW w:w="515" w:type="pct"/>
                </w:tcPr>
                <w:p w14:paraId="55909E7D" w14:textId="77777777" w:rsidR="00414467" w:rsidRDefault="00414467" w:rsidP="00414467">
                  <w:pPr>
                    <w:pStyle w:val="TableBodyText"/>
                    <w:ind w:right="28"/>
                    <w:jc w:val="center"/>
                  </w:pPr>
                  <w:r w:rsidRPr="004F2E81">
                    <w:t>Annually and at the end of fixed term agreements</w:t>
                  </w:r>
                </w:p>
              </w:tc>
              <w:tc>
                <w:tcPr>
                  <w:tcW w:w="603" w:type="pct"/>
                </w:tcPr>
                <w:p w14:paraId="281D00A5" w14:textId="77777777" w:rsidR="00414467" w:rsidRDefault="00414467" w:rsidP="00414467">
                  <w:pPr>
                    <w:pStyle w:val="TableBodyText"/>
                    <w:ind w:right="28"/>
                    <w:jc w:val="center"/>
                  </w:pPr>
                  <w:r w:rsidRPr="004F2E81">
                    <w:t>Probationary and fixed term leases reviewed prior to end of lease</w:t>
                  </w:r>
                </w:p>
              </w:tc>
              <w:tc>
                <w:tcPr>
                  <w:tcW w:w="603" w:type="pct"/>
                </w:tcPr>
                <w:p w14:paraId="7BAE8E9B" w14:textId="62BD56BF" w:rsidR="00414467" w:rsidRPr="00605FE2" w:rsidRDefault="00414467" w:rsidP="00414467">
                  <w:pPr>
                    <w:pStyle w:val="TableBodyText"/>
                    <w:ind w:right="28"/>
                    <w:jc w:val="center"/>
                    <w:rPr>
                      <w:szCs w:val="18"/>
                    </w:rPr>
                  </w:pPr>
                  <w:r w:rsidRPr="00605FE2">
                    <w:rPr>
                      <w:szCs w:val="18"/>
                    </w:rPr>
                    <w:t>Varies across community housing providers</w:t>
                  </w:r>
                </w:p>
              </w:tc>
              <w:tc>
                <w:tcPr>
                  <w:tcW w:w="603" w:type="pct"/>
                </w:tcPr>
                <w:p w14:paraId="72A1DA40" w14:textId="1681F500" w:rsidR="00414467" w:rsidRDefault="00414467" w:rsidP="00414467">
                  <w:pPr>
                    <w:pStyle w:val="TableBodyText"/>
                    <w:ind w:right="28"/>
                    <w:jc w:val="center"/>
                  </w:pPr>
                  <w:r w:rsidRPr="00E61F69">
                    <w:t>None</w:t>
                  </w:r>
                </w:p>
              </w:tc>
              <w:tc>
                <w:tcPr>
                  <w:tcW w:w="601" w:type="pct"/>
                </w:tcPr>
                <w:p w14:paraId="463EB286" w14:textId="01139495" w:rsidR="00414467" w:rsidRDefault="00414467" w:rsidP="00414467">
                  <w:pPr>
                    <w:pStyle w:val="TableBodyText"/>
                    <w:ind w:right="28"/>
                    <w:jc w:val="center"/>
                  </w:pPr>
                  <w:r w:rsidRPr="00F21C5A">
                    <w:t>na</w:t>
                  </w:r>
                </w:p>
              </w:tc>
            </w:tr>
            <w:tr w:rsidR="00DC1B63" w14:paraId="56DA552A" w14:textId="77777777" w:rsidTr="00605FE2">
              <w:tc>
                <w:tcPr>
                  <w:tcW w:w="2075" w:type="pct"/>
                  <w:gridSpan w:val="4"/>
                  <w:shd w:val="clear" w:color="auto" w:fill="auto"/>
                </w:tcPr>
                <w:p w14:paraId="193FAA48" w14:textId="6201A103" w:rsidR="00DC1B63" w:rsidRPr="004F2E81" w:rsidRDefault="00DC1B63" w:rsidP="00FB42A1">
                  <w:pPr>
                    <w:pStyle w:val="TableBodyText"/>
                    <w:ind w:right="28"/>
                    <w:jc w:val="left"/>
                  </w:pPr>
                  <w:r w:rsidRPr="00D7406B">
                    <w:rPr>
                      <w:b/>
                    </w:rPr>
                    <w:t>Rebated rent setting</w:t>
                  </w:r>
                  <w:r>
                    <w:rPr>
                      <w:b/>
                    </w:rPr>
                    <w:t>: r</w:t>
                  </w:r>
                  <w:r>
                    <w:t>ent</w:t>
                  </w:r>
                  <w:r w:rsidR="00FB42A1">
                    <w:noBreakHyphen/>
                  </w:r>
                  <w:r>
                    <w:t>to</w:t>
                  </w:r>
                  <w:r w:rsidR="00FB42A1">
                    <w:noBreakHyphen/>
                  </w:r>
                  <w:r>
                    <w:t>income ratio (%)</w:t>
                  </w:r>
                </w:p>
              </w:tc>
              <w:tc>
                <w:tcPr>
                  <w:tcW w:w="515" w:type="pct"/>
                </w:tcPr>
                <w:p w14:paraId="3A7456B6" w14:textId="77777777" w:rsidR="00DC1B63" w:rsidRPr="004F2E81" w:rsidRDefault="00DC1B63" w:rsidP="00DC1B63">
                  <w:pPr>
                    <w:pStyle w:val="TableBodyText"/>
                    <w:ind w:right="28"/>
                  </w:pPr>
                </w:p>
              </w:tc>
              <w:tc>
                <w:tcPr>
                  <w:tcW w:w="603" w:type="pct"/>
                </w:tcPr>
                <w:p w14:paraId="1C2F53B2" w14:textId="77777777" w:rsidR="00DC1B63" w:rsidRPr="004F2E81" w:rsidRDefault="00DC1B63" w:rsidP="00DC1B63">
                  <w:pPr>
                    <w:pStyle w:val="TableBodyText"/>
                    <w:ind w:right="28"/>
                  </w:pPr>
                </w:p>
              </w:tc>
              <w:tc>
                <w:tcPr>
                  <w:tcW w:w="603" w:type="pct"/>
                </w:tcPr>
                <w:p w14:paraId="5EAA8364" w14:textId="77777777" w:rsidR="00DC1B63" w:rsidRPr="004F2E81" w:rsidRDefault="00DC1B63" w:rsidP="00DC1B63">
                  <w:pPr>
                    <w:pStyle w:val="TableBodyText"/>
                    <w:ind w:right="28"/>
                  </w:pPr>
                </w:p>
              </w:tc>
              <w:tc>
                <w:tcPr>
                  <w:tcW w:w="603" w:type="pct"/>
                </w:tcPr>
                <w:p w14:paraId="4E7F8837" w14:textId="77777777" w:rsidR="00DC1B63" w:rsidRPr="004F2E81" w:rsidRDefault="00DC1B63" w:rsidP="00DC1B63">
                  <w:pPr>
                    <w:pStyle w:val="TableBodyText"/>
                    <w:ind w:right="28"/>
                  </w:pPr>
                </w:p>
              </w:tc>
              <w:tc>
                <w:tcPr>
                  <w:tcW w:w="601" w:type="pct"/>
                </w:tcPr>
                <w:p w14:paraId="0D998D9C" w14:textId="77777777" w:rsidR="00DC1B63" w:rsidRPr="004F2E81" w:rsidRDefault="00DC1B63" w:rsidP="00DC1B63">
                  <w:pPr>
                    <w:pStyle w:val="TableBodyText"/>
                    <w:ind w:right="28"/>
                  </w:pPr>
                </w:p>
              </w:tc>
            </w:tr>
            <w:tr w:rsidR="00DC1B63" w14:paraId="0E6E3515" w14:textId="77777777" w:rsidTr="00261F8E">
              <w:tc>
                <w:tcPr>
                  <w:tcW w:w="345" w:type="pct"/>
                  <w:shd w:val="clear" w:color="auto" w:fill="auto"/>
                </w:tcPr>
                <w:p w14:paraId="11020EA4" w14:textId="77777777" w:rsidR="00DC1B63" w:rsidRPr="00D7406B" w:rsidRDefault="00DC1B63" w:rsidP="00DC1B63">
                  <w:pPr>
                    <w:pStyle w:val="TableBodyText"/>
                    <w:jc w:val="center"/>
                  </w:pPr>
                </w:p>
              </w:tc>
              <w:tc>
                <w:tcPr>
                  <w:tcW w:w="439" w:type="pct"/>
                </w:tcPr>
                <w:p w14:paraId="16F87003" w14:textId="604919E3" w:rsidR="00DC1B63" w:rsidRPr="004F2E81" w:rsidRDefault="00DC1B63" w:rsidP="00414467">
                  <w:pPr>
                    <w:pStyle w:val="TableBodyText"/>
                    <w:jc w:val="center"/>
                  </w:pPr>
                  <w:r w:rsidRPr="00F3770E">
                    <w:t>25</w:t>
                  </w:r>
                </w:p>
              </w:tc>
              <w:tc>
                <w:tcPr>
                  <w:tcW w:w="602" w:type="pct"/>
                  <w:shd w:val="clear" w:color="auto" w:fill="auto"/>
                </w:tcPr>
                <w:p w14:paraId="53EDF30A" w14:textId="7EAB4E7D" w:rsidR="00DC1B63" w:rsidRPr="004F2E81" w:rsidRDefault="00414467" w:rsidP="00DC1B63">
                  <w:pPr>
                    <w:pStyle w:val="TableBodyText"/>
                    <w:jc w:val="center"/>
                  </w:pPr>
                  <w:r>
                    <w:t>Up to 30</w:t>
                  </w:r>
                </w:p>
              </w:tc>
              <w:tc>
                <w:tcPr>
                  <w:tcW w:w="689" w:type="pct"/>
                  <w:shd w:val="clear" w:color="auto" w:fill="auto"/>
                </w:tcPr>
                <w:p w14:paraId="6A919934" w14:textId="77777777" w:rsidR="00DC1B63" w:rsidRPr="004F2E81" w:rsidRDefault="00DC1B63" w:rsidP="00DC1B63">
                  <w:pPr>
                    <w:pStyle w:val="TableBodyText"/>
                    <w:ind w:right="28"/>
                    <w:jc w:val="center"/>
                  </w:pPr>
                  <w:r w:rsidRPr="00F3770E">
                    <w:t>25</w:t>
                  </w:r>
                </w:p>
              </w:tc>
              <w:tc>
                <w:tcPr>
                  <w:tcW w:w="515" w:type="pct"/>
                </w:tcPr>
                <w:p w14:paraId="6EAF402C" w14:textId="77777777" w:rsidR="00DC1B63" w:rsidRPr="004F2E81" w:rsidRDefault="00DC1B63" w:rsidP="00DC1B63">
                  <w:pPr>
                    <w:pStyle w:val="TableBodyText"/>
                    <w:ind w:right="28"/>
                    <w:jc w:val="center"/>
                  </w:pPr>
                  <w:r w:rsidRPr="00F3770E">
                    <w:t>25</w:t>
                  </w:r>
                </w:p>
              </w:tc>
              <w:tc>
                <w:tcPr>
                  <w:tcW w:w="603" w:type="pct"/>
                </w:tcPr>
                <w:p w14:paraId="543DC17C" w14:textId="77777777" w:rsidR="00DC1B63" w:rsidRPr="004F2E81" w:rsidRDefault="00DC1B63" w:rsidP="00DC1B63">
                  <w:pPr>
                    <w:pStyle w:val="TableBodyText"/>
                    <w:ind w:right="28"/>
                    <w:jc w:val="center"/>
                  </w:pPr>
                  <w:r w:rsidRPr="00F3770E">
                    <w:t>25</w:t>
                  </w:r>
                </w:p>
              </w:tc>
              <w:tc>
                <w:tcPr>
                  <w:tcW w:w="603" w:type="pct"/>
                </w:tcPr>
                <w:p w14:paraId="6034824B" w14:textId="6F7F3E22" w:rsidR="00DC1B63" w:rsidRPr="004F2E81" w:rsidRDefault="00414467" w:rsidP="00DC1B63">
                  <w:pPr>
                    <w:pStyle w:val="TableBodyText"/>
                    <w:ind w:right="28"/>
                    <w:jc w:val="center"/>
                  </w:pPr>
                  <w:r w:rsidRPr="00414467">
                    <w:t>No more than 30</w:t>
                  </w:r>
                </w:p>
              </w:tc>
              <w:tc>
                <w:tcPr>
                  <w:tcW w:w="603" w:type="pct"/>
                </w:tcPr>
                <w:p w14:paraId="597765B0" w14:textId="7775F403" w:rsidR="00DC1B63" w:rsidRPr="004F2E81" w:rsidRDefault="00414467" w:rsidP="007D6BA8">
                  <w:pPr>
                    <w:pStyle w:val="TableBodyText"/>
                    <w:ind w:right="28"/>
                    <w:jc w:val="center"/>
                  </w:pPr>
                  <w:r>
                    <w:t>25</w:t>
                  </w:r>
                  <w:r w:rsidR="007D6BA8">
                    <w:t> </w:t>
                  </w:r>
                  <w:r>
                    <w:t>per</w:t>
                  </w:r>
                  <w:r w:rsidR="007D6BA8">
                    <w:t> </w:t>
                  </w:r>
                  <w:r>
                    <w:t xml:space="preserve">cent </w:t>
                  </w:r>
                  <w:r w:rsidRPr="00414467">
                    <w:t>except affordable housing properties where rent is capped at 74.9</w:t>
                  </w:r>
                  <w:r w:rsidR="007D6BA8">
                    <w:t> </w:t>
                  </w:r>
                  <w:r w:rsidR="00605FE2">
                    <w:t>per</w:t>
                  </w:r>
                  <w:r w:rsidR="007D6BA8">
                    <w:t> </w:t>
                  </w:r>
                  <w:r w:rsidR="00605FE2">
                    <w:t>cent</w:t>
                  </w:r>
                  <w:r w:rsidRPr="00414467">
                    <w:t xml:space="preserve"> of market rent</w:t>
                  </w:r>
                </w:p>
              </w:tc>
              <w:tc>
                <w:tcPr>
                  <w:tcW w:w="601" w:type="pct"/>
                </w:tcPr>
                <w:p w14:paraId="54850719" w14:textId="22EE7173" w:rsidR="00DC1B63" w:rsidRPr="004F2E81" w:rsidRDefault="00414467" w:rsidP="00414467">
                  <w:pPr>
                    <w:pStyle w:val="TableBodyText"/>
                    <w:ind w:right="28"/>
                    <w:jc w:val="center"/>
                  </w:pPr>
                  <w:r w:rsidRPr="00414467">
                    <w:t>na</w:t>
                  </w:r>
                </w:p>
              </w:tc>
            </w:tr>
            <w:tr w:rsidR="00DC1B63" w14:paraId="4BC40B8C" w14:textId="77777777" w:rsidTr="00261F8E">
              <w:tc>
                <w:tcPr>
                  <w:tcW w:w="345" w:type="pct"/>
                  <w:tcBorders>
                    <w:bottom w:val="single" w:sz="6" w:space="0" w:color="BFBFBF" w:themeColor="background1" w:themeShade="BF"/>
                  </w:tcBorders>
                  <w:shd w:val="clear" w:color="auto" w:fill="auto"/>
                </w:tcPr>
                <w:p w14:paraId="34F728CB" w14:textId="77777777" w:rsidR="00DC1B63" w:rsidRPr="00AF211D" w:rsidRDefault="00DC1B63" w:rsidP="00DC1B63">
                  <w:pPr>
                    <w:pStyle w:val="TableBodyText"/>
                    <w:jc w:val="left"/>
                  </w:pPr>
                </w:p>
              </w:tc>
              <w:tc>
                <w:tcPr>
                  <w:tcW w:w="439" w:type="pct"/>
                  <w:tcBorders>
                    <w:bottom w:val="single" w:sz="6" w:space="0" w:color="BFBFBF" w:themeColor="background1" w:themeShade="BF"/>
                  </w:tcBorders>
                </w:tcPr>
                <w:p w14:paraId="08E4B623" w14:textId="77777777" w:rsidR="00DC1B63" w:rsidRPr="00E61F69" w:rsidRDefault="00DC1B63" w:rsidP="00DC1B63">
                  <w:pPr>
                    <w:pStyle w:val="TableBodyText"/>
                    <w:jc w:val="center"/>
                  </w:pPr>
                </w:p>
              </w:tc>
              <w:tc>
                <w:tcPr>
                  <w:tcW w:w="602" w:type="pct"/>
                  <w:tcBorders>
                    <w:bottom w:val="single" w:sz="6" w:space="0" w:color="BFBFBF" w:themeColor="background1" w:themeShade="BF"/>
                  </w:tcBorders>
                  <w:shd w:val="clear" w:color="auto" w:fill="auto"/>
                </w:tcPr>
                <w:p w14:paraId="492C0DA5" w14:textId="77777777" w:rsidR="00DC1B63" w:rsidRPr="00E61F69" w:rsidRDefault="00DC1B63" w:rsidP="00DC1B63">
                  <w:pPr>
                    <w:pStyle w:val="TableBodyText"/>
                    <w:jc w:val="center"/>
                  </w:pPr>
                </w:p>
              </w:tc>
              <w:tc>
                <w:tcPr>
                  <w:tcW w:w="689" w:type="pct"/>
                  <w:tcBorders>
                    <w:bottom w:val="single" w:sz="6" w:space="0" w:color="BFBFBF" w:themeColor="background1" w:themeShade="BF"/>
                  </w:tcBorders>
                  <w:shd w:val="clear" w:color="auto" w:fill="auto"/>
                </w:tcPr>
                <w:p w14:paraId="3A143DDF" w14:textId="77777777" w:rsidR="00DC1B63" w:rsidRPr="00E61F69" w:rsidRDefault="00DC1B63" w:rsidP="00DC1B63">
                  <w:pPr>
                    <w:pStyle w:val="TableBodyText"/>
                    <w:ind w:right="28"/>
                    <w:jc w:val="center"/>
                  </w:pPr>
                </w:p>
              </w:tc>
              <w:tc>
                <w:tcPr>
                  <w:tcW w:w="515" w:type="pct"/>
                  <w:tcBorders>
                    <w:bottom w:val="single" w:sz="6" w:space="0" w:color="BFBFBF" w:themeColor="background1" w:themeShade="BF"/>
                  </w:tcBorders>
                </w:tcPr>
                <w:p w14:paraId="35966011" w14:textId="77777777" w:rsidR="00DC1B63" w:rsidRPr="00E61F69" w:rsidRDefault="00DC1B63" w:rsidP="00DC1B63">
                  <w:pPr>
                    <w:pStyle w:val="TableBodyText"/>
                    <w:ind w:right="28"/>
                    <w:jc w:val="center"/>
                  </w:pPr>
                </w:p>
              </w:tc>
              <w:tc>
                <w:tcPr>
                  <w:tcW w:w="603" w:type="pct"/>
                  <w:tcBorders>
                    <w:bottom w:val="single" w:sz="6" w:space="0" w:color="BFBFBF" w:themeColor="background1" w:themeShade="BF"/>
                  </w:tcBorders>
                </w:tcPr>
                <w:p w14:paraId="64F02DA9" w14:textId="77777777" w:rsidR="00DC1B63" w:rsidRPr="00E61F69" w:rsidRDefault="00DC1B63" w:rsidP="00DC1B63">
                  <w:pPr>
                    <w:pStyle w:val="TableBodyText"/>
                    <w:ind w:right="28"/>
                    <w:jc w:val="center"/>
                  </w:pPr>
                </w:p>
              </w:tc>
              <w:tc>
                <w:tcPr>
                  <w:tcW w:w="1807" w:type="pct"/>
                  <w:gridSpan w:val="3"/>
                  <w:tcBorders>
                    <w:bottom w:val="single" w:sz="6" w:space="0" w:color="BFBFBF" w:themeColor="background1" w:themeShade="BF"/>
                  </w:tcBorders>
                </w:tcPr>
                <w:p w14:paraId="6D14A327" w14:textId="77777777" w:rsidR="00DC1B63" w:rsidRPr="00E61F69" w:rsidRDefault="00DC1B63" w:rsidP="00DC1B63">
                  <w:pPr>
                    <w:pStyle w:val="TableBodyText"/>
                    <w:spacing w:before="80"/>
                    <w:ind w:right="28"/>
                  </w:pPr>
                  <w:r w:rsidRPr="00C52B8F">
                    <w:rPr>
                      <w:szCs w:val="18"/>
                    </w:rPr>
                    <w:t>(continued next page)</w:t>
                  </w:r>
                </w:p>
              </w:tc>
            </w:tr>
          </w:tbl>
          <w:p w14:paraId="3AFBE7C8" w14:textId="77777777" w:rsidR="00DC1B63" w:rsidRDefault="00DC1B63" w:rsidP="00414467">
            <w:pPr>
              <w:pStyle w:val="Box"/>
            </w:pPr>
          </w:p>
        </w:tc>
      </w:tr>
      <w:tr w:rsidR="00DC1B63" w14:paraId="0EE92C84" w14:textId="77777777" w:rsidTr="00414467">
        <w:tc>
          <w:tcPr>
            <w:tcW w:w="5000" w:type="pct"/>
            <w:tcBorders>
              <w:top w:val="nil"/>
              <w:left w:val="nil"/>
              <w:bottom w:val="single" w:sz="6" w:space="0" w:color="78A22F"/>
              <w:right w:val="nil"/>
            </w:tcBorders>
            <w:shd w:val="clear" w:color="auto" w:fill="auto"/>
          </w:tcPr>
          <w:p w14:paraId="741CC61D" w14:textId="77777777" w:rsidR="00DC1B63" w:rsidRDefault="00DC1B63" w:rsidP="00414467">
            <w:pPr>
              <w:pStyle w:val="Box"/>
              <w:spacing w:before="0" w:line="120" w:lineRule="exact"/>
            </w:pPr>
          </w:p>
        </w:tc>
      </w:tr>
      <w:tr w:rsidR="00DC1B63" w:rsidRPr="000863A5" w14:paraId="77F7BA67" w14:textId="77777777" w:rsidTr="00414467">
        <w:tc>
          <w:tcPr>
            <w:tcW w:w="5000" w:type="pct"/>
            <w:tcBorders>
              <w:top w:val="single" w:sz="6" w:space="0" w:color="78A22F"/>
              <w:left w:val="nil"/>
              <w:bottom w:val="nil"/>
              <w:right w:val="nil"/>
            </w:tcBorders>
          </w:tcPr>
          <w:p w14:paraId="225D7FAC" w14:textId="2355EA7F" w:rsidR="00DC1B63" w:rsidRPr="00626D32" w:rsidRDefault="00DC1B63" w:rsidP="00414467">
            <w:pPr>
              <w:pStyle w:val="BoxSpaceBelow"/>
            </w:pPr>
          </w:p>
        </w:tc>
      </w:tr>
    </w:tbl>
    <w:p w14:paraId="4091D201" w14:textId="6E5639B0" w:rsidR="00414467" w:rsidRDefault="00414467" w:rsidP="0041446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414467" w14:paraId="65837C7E" w14:textId="77777777" w:rsidTr="00414467">
        <w:trPr>
          <w:tblHeader/>
        </w:trPr>
        <w:tc>
          <w:tcPr>
            <w:tcW w:w="5000" w:type="pct"/>
            <w:tcBorders>
              <w:top w:val="single" w:sz="6" w:space="0" w:color="78A22F"/>
              <w:left w:val="nil"/>
              <w:bottom w:val="nil"/>
              <w:right w:val="nil"/>
            </w:tcBorders>
            <w:shd w:val="clear" w:color="auto" w:fill="auto"/>
          </w:tcPr>
          <w:p w14:paraId="35324B67" w14:textId="3A4B0374" w:rsidR="00414467" w:rsidRPr="00784A05" w:rsidRDefault="00AE6710" w:rsidP="00A16D87">
            <w:pPr>
              <w:pStyle w:val="TableTitle"/>
            </w:pPr>
            <w:r>
              <w:rPr>
                <w:b w:val="0"/>
              </w:rPr>
              <w:t>Table 1</w:t>
            </w:r>
            <w:r w:rsidR="00A16D87">
              <w:rPr>
                <w:b w:val="0"/>
              </w:rPr>
              <w:t>8</w:t>
            </w:r>
            <w:r>
              <w:rPr>
                <w:b w:val="0"/>
              </w:rPr>
              <w:t>.3</w:t>
            </w:r>
            <w:r w:rsidR="00414467">
              <w:tab/>
            </w:r>
            <w:r w:rsidR="00414467" w:rsidRPr="001413EB">
              <w:rPr>
                <w:b w:val="0"/>
                <w:sz w:val="18"/>
                <w:szCs w:val="18"/>
              </w:rPr>
              <w:t>(continued)</w:t>
            </w:r>
          </w:p>
        </w:tc>
      </w:tr>
      <w:tr w:rsidR="00261F8E" w14:paraId="42E0C36F" w14:textId="77777777" w:rsidTr="00414467">
        <w:tc>
          <w:tcPr>
            <w:tcW w:w="5000" w:type="pct"/>
            <w:tcBorders>
              <w:top w:val="nil"/>
              <w:left w:val="nil"/>
              <w:bottom w:val="nil"/>
              <w:right w:val="nil"/>
            </w:tcBorders>
            <w:shd w:val="clear" w:color="auto" w:fill="auto"/>
          </w:tcPr>
          <w:tbl>
            <w:tblPr>
              <w:tblW w:w="13322" w:type="dxa"/>
              <w:tblCellMar>
                <w:top w:w="28" w:type="dxa"/>
                <w:left w:w="0" w:type="dxa"/>
                <w:right w:w="0" w:type="dxa"/>
              </w:tblCellMar>
              <w:tblLook w:val="0000" w:firstRow="0" w:lastRow="0" w:firstColumn="0" w:lastColumn="0" w:noHBand="0" w:noVBand="0"/>
            </w:tblPr>
            <w:tblGrid>
              <w:gridCol w:w="918"/>
              <w:gridCol w:w="1170"/>
              <w:gridCol w:w="1604"/>
              <w:gridCol w:w="1604"/>
              <w:gridCol w:w="1604"/>
              <w:gridCol w:w="1607"/>
              <w:gridCol w:w="1607"/>
              <w:gridCol w:w="1607"/>
              <w:gridCol w:w="1601"/>
            </w:tblGrid>
            <w:tr w:rsidR="00D621A6" w14:paraId="51DC16F0" w14:textId="77777777" w:rsidTr="009E6F57">
              <w:trPr>
                <w:trHeight w:val="276"/>
                <w:tblHeader/>
              </w:trPr>
              <w:tc>
                <w:tcPr>
                  <w:tcW w:w="345" w:type="pct"/>
                  <w:tcBorders>
                    <w:top w:val="single" w:sz="6" w:space="0" w:color="BFBFBF"/>
                    <w:bottom w:val="single" w:sz="6" w:space="0" w:color="BFBFBF"/>
                  </w:tcBorders>
                  <w:shd w:val="clear" w:color="auto" w:fill="auto"/>
                  <w:tcMar>
                    <w:top w:w="28" w:type="dxa"/>
                  </w:tcMar>
                </w:tcPr>
                <w:p w14:paraId="091E776A" w14:textId="77777777" w:rsidR="00D621A6" w:rsidRDefault="00D621A6" w:rsidP="00D621A6">
                  <w:pPr>
                    <w:pStyle w:val="TableColumnHeading"/>
                    <w:jc w:val="left"/>
                  </w:pPr>
                </w:p>
              </w:tc>
              <w:tc>
                <w:tcPr>
                  <w:tcW w:w="439" w:type="pct"/>
                  <w:tcBorders>
                    <w:top w:val="single" w:sz="6" w:space="0" w:color="BFBFBF"/>
                    <w:bottom w:val="single" w:sz="6" w:space="0" w:color="BFBFBF"/>
                  </w:tcBorders>
                </w:tcPr>
                <w:p w14:paraId="70D7C225" w14:textId="08F30D17" w:rsidR="00D621A6" w:rsidRDefault="00D621A6" w:rsidP="00206AEC">
                  <w:pPr>
                    <w:pStyle w:val="TableColumnHeading"/>
                    <w:jc w:val="center"/>
                  </w:pPr>
                  <w:r w:rsidRPr="0027496D">
                    <w:t>NSW</w:t>
                  </w:r>
                  <w:r w:rsidR="00206AEC">
                    <w:rPr>
                      <w:rStyle w:val="NoteLabel"/>
                      <w:i w:val="0"/>
                    </w:rPr>
                    <w:t>b</w:t>
                  </w:r>
                </w:p>
              </w:tc>
              <w:tc>
                <w:tcPr>
                  <w:tcW w:w="602" w:type="pct"/>
                  <w:tcBorders>
                    <w:top w:val="single" w:sz="6" w:space="0" w:color="BFBFBF"/>
                    <w:bottom w:val="single" w:sz="6" w:space="0" w:color="BFBFBF"/>
                  </w:tcBorders>
                  <w:shd w:val="clear" w:color="auto" w:fill="auto"/>
                  <w:tcMar>
                    <w:top w:w="28" w:type="dxa"/>
                  </w:tcMar>
                </w:tcPr>
                <w:p w14:paraId="203FFED4" w14:textId="6763F859" w:rsidR="00D621A6" w:rsidRDefault="00D621A6" w:rsidP="00206AEC">
                  <w:pPr>
                    <w:pStyle w:val="TableColumnHeading"/>
                    <w:jc w:val="center"/>
                  </w:pPr>
                  <w:r w:rsidRPr="0027496D">
                    <w:t>Vic</w:t>
                  </w:r>
                  <w:r w:rsidR="00206AEC">
                    <w:rPr>
                      <w:rStyle w:val="NoteLabel"/>
                      <w:i w:val="0"/>
                    </w:rPr>
                    <w:t>c</w:t>
                  </w:r>
                </w:p>
              </w:tc>
              <w:tc>
                <w:tcPr>
                  <w:tcW w:w="602" w:type="pct"/>
                  <w:tcBorders>
                    <w:top w:val="single" w:sz="6" w:space="0" w:color="BFBFBF"/>
                    <w:bottom w:val="single" w:sz="6" w:space="0" w:color="BFBFBF"/>
                  </w:tcBorders>
                  <w:shd w:val="clear" w:color="auto" w:fill="auto"/>
                  <w:tcMar>
                    <w:top w:w="28" w:type="dxa"/>
                  </w:tcMar>
                </w:tcPr>
                <w:p w14:paraId="521FC862" w14:textId="59089715" w:rsidR="00D621A6" w:rsidRDefault="00D621A6" w:rsidP="00206AEC">
                  <w:pPr>
                    <w:pStyle w:val="TableColumnHeading"/>
                    <w:ind w:right="28"/>
                    <w:jc w:val="center"/>
                  </w:pPr>
                  <w:r w:rsidRPr="0027496D">
                    <w:t>Qld</w:t>
                  </w:r>
                  <w:r w:rsidR="00206AEC">
                    <w:rPr>
                      <w:rStyle w:val="NoteLabel"/>
                      <w:i w:val="0"/>
                    </w:rPr>
                    <w:t>d</w:t>
                  </w:r>
                </w:p>
              </w:tc>
              <w:tc>
                <w:tcPr>
                  <w:tcW w:w="602" w:type="pct"/>
                  <w:tcBorders>
                    <w:top w:val="single" w:sz="6" w:space="0" w:color="BFBFBF"/>
                    <w:bottom w:val="single" w:sz="6" w:space="0" w:color="BFBFBF"/>
                  </w:tcBorders>
                </w:tcPr>
                <w:p w14:paraId="28572860" w14:textId="1E1B00EE" w:rsidR="00D621A6" w:rsidRDefault="00D621A6" w:rsidP="00206AEC">
                  <w:pPr>
                    <w:pStyle w:val="TableColumnHeading"/>
                    <w:ind w:right="28"/>
                    <w:jc w:val="center"/>
                  </w:pPr>
                  <w:r w:rsidRPr="0027496D">
                    <w:t>WA</w:t>
                  </w:r>
                  <w:r w:rsidR="00206AEC">
                    <w:rPr>
                      <w:rStyle w:val="NoteLabel"/>
                      <w:i w:val="0"/>
                    </w:rPr>
                    <w:t>e</w:t>
                  </w:r>
                </w:p>
              </w:tc>
              <w:tc>
                <w:tcPr>
                  <w:tcW w:w="603" w:type="pct"/>
                  <w:tcBorders>
                    <w:top w:val="single" w:sz="6" w:space="0" w:color="BFBFBF"/>
                    <w:bottom w:val="single" w:sz="6" w:space="0" w:color="BFBFBF"/>
                  </w:tcBorders>
                </w:tcPr>
                <w:p w14:paraId="32B4BD5F" w14:textId="3A1456C4" w:rsidR="00D621A6" w:rsidRDefault="00503901" w:rsidP="00206AEC">
                  <w:pPr>
                    <w:pStyle w:val="TableColumnHeading"/>
                    <w:ind w:right="28"/>
                    <w:jc w:val="center"/>
                  </w:pPr>
                  <w:r>
                    <w:t>SA</w:t>
                  </w:r>
                  <w:r w:rsidR="00206AEC">
                    <w:rPr>
                      <w:rStyle w:val="NoteLabel"/>
                      <w:i w:val="0"/>
                    </w:rPr>
                    <w:t>f</w:t>
                  </w:r>
                </w:p>
              </w:tc>
              <w:tc>
                <w:tcPr>
                  <w:tcW w:w="603" w:type="pct"/>
                  <w:tcBorders>
                    <w:top w:val="single" w:sz="6" w:space="0" w:color="BFBFBF"/>
                    <w:bottom w:val="single" w:sz="6" w:space="0" w:color="BFBFBF"/>
                  </w:tcBorders>
                </w:tcPr>
                <w:p w14:paraId="5AD1BED3" w14:textId="2D9D1704" w:rsidR="00D621A6" w:rsidRDefault="00503901" w:rsidP="00206AEC">
                  <w:pPr>
                    <w:pStyle w:val="TableColumnHeading"/>
                    <w:ind w:right="28"/>
                    <w:jc w:val="center"/>
                  </w:pPr>
                  <w:r>
                    <w:t>Tas</w:t>
                  </w:r>
                  <w:r w:rsidR="00206AEC">
                    <w:rPr>
                      <w:rStyle w:val="NoteLabel"/>
                      <w:i w:val="0"/>
                    </w:rPr>
                    <w:t>g</w:t>
                  </w:r>
                </w:p>
              </w:tc>
              <w:tc>
                <w:tcPr>
                  <w:tcW w:w="603" w:type="pct"/>
                  <w:tcBorders>
                    <w:top w:val="single" w:sz="6" w:space="0" w:color="BFBFBF"/>
                    <w:bottom w:val="single" w:sz="6" w:space="0" w:color="BFBFBF"/>
                  </w:tcBorders>
                </w:tcPr>
                <w:p w14:paraId="3B929246" w14:textId="0D487742" w:rsidR="00D621A6" w:rsidRDefault="00503901" w:rsidP="00206AEC">
                  <w:pPr>
                    <w:pStyle w:val="TableColumnHeading"/>
                    <w:ind w:right="28"/>
                    <w:jc w:val="center"/>
                  </w:pPr>
                  <w:r>
                    <w:t>ACT</w:t>
                  </w:r>
                  <w:r w:rsidR="00206AEC">
                    <w:rPr>
                      <w:rStyle w:val="NoteLabel"/>
                      <w:i w:val="0"/>
                    </w:rPr>
                    <w:t>h</w:t>
                  </w:r>
                </w:p>
              </w:tc>
              <w:tc>
                <w:tcPr>
                  <w:tcW w:w="601" w:type="pct"/>
                  <w:tcBorders>
                    <w:top w:val="single" w:sz="6" w:space="0" w:color="BFBFBF"/>
                    <w:bottom w:val="single" w:sz="6" w:space="0" w:color="BFBFBF"/>
                  </w:tcBorders>
                </w:tcPr>
                <w:p w14:paraId="0102574F" w14:textId="77777777" w:rsidR="00D621A6" w:rsidRDefault="00D621A6" w:rsidP="00D621A6">
                  <w:pPr>
                    <w:pStyle w:val="TableColumnHeading"/>
                    <w:ind w:right="28"/>
                    <w:jc w:val="center"/>
                  </w:pPr>
                  <w:r w:rsidRPr="0027496D">
                    <w:t>NT</w:t>
                  </w:r>
                </w:p>
              </w:tc>
            </w:tr>
          </w:tbl>
          <w:p w14:paraId="4F45C699" w14:textId="77777777" w:rsidR="00261F8E" w:rsidRPr="008E77FE" w:rsidRDefault="00261F8E" w:rsidP="008142DA">
            <w:pPr>
              <w:pStyle w:val="Note"/>
              <w:rPr>
                <w:rStyle w:val="NoteLabel"/>
              </w:rPr>
            </w:pPr>
          </w:p>
        </w:tc>
      </w:tr>
      <w:tr w:rsidR="00414467" w14:paraId="77C251DB" w14:textId="77777777" w:rsidTr="00414467">
        <w:tc>
          <w:tcPr>
            <w:tcW w:w="5000" w:type="pct"/>
            <w:tcBorders>
              <w:top w:val="nil"/>
              <w:left w:val="nil"/>
              <w:bottom w:val="nil"/>
              <w:right w:val="nil"/>
            </w:tcBorders>
            <w:shd w:val="clear" w:color="auto" w:fill="auto"/>
          </w:tcPr>
          <w:p w14:paraId="004BD1F5" w14:textId="010F29E5" w:rsidR="00414467" w:rsidRDefault="00414467" w:rsidP="00206AEC">
            <w:pPr>
              <w:pStyle w:val="Note"/>
              <w:rPr>
                <w:i/>
              </w:rPr>
            </w:pPr>
            <w:r w:rsidRPr="000C05DC">
              <w:rPr>
                <w:rStyle w:val="NoteLabel"/>
              </w:rPr>
              <w:t>a</w:t>
            </w:r>
            <w:r w:rsidRPr="000C05DC">
              <w:t xml:space="preserve"> </w:t>
            </w:r>
            <w:r w:rsidR="00853B3E" w:rsidRPr="000C05DC">
              <w:rPr>
                <w:b/>
              </w:rPr>
              <w:t>na</w:t>
            </w:r>
            <w:r w:rsidR="00853B3E" w:rsidRPr="000C05DC">
              <w:t xml:space="preserve"> Not available</w:t>
            </w:r>
            <w:r w:rsidRPr="000C05DC">
              <w:t xml:space="preserve">. </w:t>
            </w:r>
            <w:r w:rsidRPr="000C05DC">
              <w:rPr>
                <w:rStyle w:val="NoteLabel"/>
              </w:rPr>
              <w:t>b</w:t>
            </w:r>
            <w:r w:rsidR="00206AEC">
              <w:t> </w:t>
            </w:r>
            <w:r w:rsidRPr="000C05DC">
              <w:t xml:space="preserve">Income limit: Limit is gross amount for a single adult. </w:t>
            </w:r>
            <w:r w:rsidR="00C47BFD" w:rsidRPr="000C05DC">
              <w:t>The first $5</w:t>
            </w:r>
            <w:r w:rsidR="00E617C2" w:rsidRPr="000C05DC">
              <w:t>000 of savings and financial assets are exempt from assessmen</w:t>
            </w:r>
            <w:r w:rsidR="00C47BFD" w:rsidRPr="000C05DC">
              <w:t>t. Interest on amounts above $5</w:t>
            </w:r>
            <w:r w:rsidR="00E617C2" w:rsidRPr="000C05DC">
              <w:t>000 is assessed and this rate is aligned to the Centrelink deeming rate</w:t>
            </w:r>
            <w:r w:rsidRPr="000C05DC">
              <w:t xml:space="preserve">. </w:t>
            </w:r>
            <w:r w:rsidR="00853B3E" w:rsidRPr="000C05DC">
              <w:t>Minimum age : a</w:t>
            </w:r>
            <w:r w:rsidRPr="000C05DC">
              <w:t xml:space="preserve">pplicants under 18 years of age may be assessed for assistance when they meet general eligibility criteria, have an income, social housing is the best way to meet their housing needs and the provider is satisfied they are able to meet tenancy obligations. Waiting list: Generally, clients are housed in the following order: </w:t>
            </w:r>
            <w:r w:rsidR="008465EF" w:rsidRPr="000C05DC">
              <w:t xml:space="preserve">priority housing, transfer on a priority basis or relocation for management purposes, </w:t>
            </w:r>
            <w:r w:rsidR="006E1A0B" w:rsidRPr="000C05DC">
              <w:t xml:space="preserve">elderly clients 80 years and over or 55 years and over for clients of Aboriginal and Torres Strait Islander descent, </w:t>
            </w:r>
            <w:r w:rsidR="008465EF" w:rsidRPr="000C05DC">
              <w:t>wait turn housing and wait turn transfer.</w:t>
            </w:r>
            <w:r w:rsidRPr="000C05DC">
              <w:t xml:space="preserve"> Tenure: </w:t>
            </w:r>
            <w:r w:rsidR="008465EF" w:rsidRPr="000C05DC">
              <w:t>continuous leases for general housing</w:t>
            </w:r>
            <w:r w:rsidRPr="000C05DC">
              <w:t>.</w:t>
            </w:r>
            <w:r w:rsidR="008465EF" w:rsidRPr="000C05DC">
              <w:t xml:space="preserve"> Ren</w:t>
            </w:r>
            <w:r w:rsidR="00853B3E" w:rsidRPr="000C05DC">
              <w:t>t to Income Ratio</w:t>
            </w:r>
            <w:r w:rsidR="008465EF" w:rsidRPr="000C05DC">
              <w:t>: 25 per cent of assessable income for the tenant, their spouse or live</w:t>
            </w:r>
            <w:r w:rsidR="009C1C34">
              <w:noBreakHyphen/>
            </w:r>
            <w:r w:rsidR="008465EF" w:rsidRPr="000C05DC">
              <w:t xml:space="preserve">n partner, irrespective of their age and all other persons living in the household who are aged 21 years or  over; 15 per cent </w:t>
            </w:r>
            <w:r w:rsidR="001C0B07" w:rsidRPr="000C05DC">
              <w:t>–</w:t>
            </w:r>
            <w:r w:rsidR="008465EF" w:rsidRPr="000C05DC">
              <w:t xml:space="preserve"> </w:t>
            </w:r>
            <w:r w:rsidR="001C0B07" w:rsidRPr="000C05DC">
              <w:t xml:space="preserve">Family Tax Benefit </w:t>
            </w:r>
            <w:r w:rsidR="008465EF" w:rsidRPr="000C05DC">
              <w:t>and household members aged 18 to 20 years inclusive who are not the tenant, their spouse or live</w:t>
            </w:r>
            <w:r w:rsidR="00C47BFD" w:rsidRPr="000C05DC">
              <w:noBreakHyphen/>
            </w:r>
            <w:r w:rsidR="008465EF" w:rsidRPr="000C05DC">
              <w:t xml:space="preserve">in partner; nil </w:t>
            </w:r>
            <w:r w:rsidR="004425C2">
              <w:rPr>
                <w:rFonts w:cs="Arial"/>
              </w:rPr>
              <w:t>—</w:t>
            </w:r>
            <w:r w:rsidR="008465EF" w:rsidRPr="000C05DC">
              <w:t xml:space="preserve"> household members under 18 who are not the tenant, their spouse or live</w:t>
            </w:r>
            <w:r w:rsidR="00C47BFD" w:rsidRPr="000C05DC">
              <w:noBreakHyphen/>
            </w:r>
            <w:r w:rsidR="008465EF" w:rsidRPr="000C05DC">
              <w:t>in partner).</w:t>
            </w:r>
            <w:r w:rsidR="00CE3936" w:rsidRPr="000C05DC">
              <w:t xml:space="preserve"> Rent calculations include the full amount of Commonwealth Rent Assistance (CRA) for eligible households.</w:t>
            </w:r>
            <w:r w:rsidR="008465EF" w:rsidRPr="000C05DC">
              <w:t xml:space="preserve"> </w:t>
            </w:r>
            <w:r w:rsidR="00206AEC">
              <w:rPr>
                <w:rStyle w:val="NoteLabel"/>
              </w:rPr>
              <w:t>c</w:t>
            </w:r>
            <w:r w:rsidR="008465EF" w:rsidRPr="000C05DC">
              <w:t xml:space="preserve"> </w:t>
            </w:r>
            <w:r w:rsidR="00E80E88" w:rsidRPr="000C05DC">
              <w:t>Each CHO operates in accordance with its own policies, mission statement and vision and serve a variety of specific cohorts within the community. For example, each CHO operates an individual rent setting policy. However, rent is capped at 30 per cent of total income.</w:t>
            </w:r>
            <w:r w:rsidR="008465EF" w:rsidRPr="000C05DC">
              <w:t xml:space="preserve"> </w:t>
            </w:r>
            <w:r w:rsidR="00206AEC">
              <w:rPr>
                <w:rStyle w:val="NoteLabel"/>
              </w:rPr>
              <w:t>d</w:t>
            </w:r>
            <w:r w:rsidRPr="000C05DC">
              <w:t xml:space="preserve"> </w:t>
            </w:r>
            <w:r w:rsidR="008465EF" w:rsidRPr="000C05DC">
              <w:t xml:space="preserve">Community Housing rent is 25 per cent of assessable income plus 100 per cent of </w:t>
            </w:r>
            <w:r w:rsidR="001C0B07" w:rsidRPr="000C05DC">
              <w:t>CRA</w:t>
            </w:r>
            <w:r w:rsidR="008465EF" w:rsidRPr="000C05DC">
              <w:t>. Affordable Housing rent is 30 per cent of income and all income is assessable.</w:t>
            </w:r>
            <w:r w:rsidR="003A0BC4" w:rsidRPr="000C05DC">
              <w:t xml:space="preserve"> Social housing is for eligible persons for the duration of their need. Tenancy review policies include high income of the tenant and their spouse, property ownership (including part</w:t>
            </w:r>
            <w:r w:rsidR="009C1C34">
              <w:noBreakHyphen/>
            </w:r>
            <w:r w:rsidR="003A0BC4" w:rsidRPr="000C05DC">
              <w:t>ownership) of any type of property by any household member, and a household’s need and match to their property.</w:t>
            </w:r>
            <w:r w:rsidRPr="000C05DC">
              <w:t xml:space="preserve"> </w:t>
            </w:r>
            <w:r w:rsidR="00206AEC">
              <w:rPr>
                <w:rStyle w:val="NoteLabel"/>
              </w:rPr>
              <w:t>e</w:t>
            </w:r>
            <w:r w:rsidRPr="000C05DC">
              <w:t xml:space="preserve"> </w:t>
            </w:r>
            <w:r w:rsidR="00791429" w:rsidRPr="000C05DC">
              <w:t xml:space="preserve">Income limit for singles in the north west &amp; remote areas </w:t>
            </w:r>
            <w:r w:rsidR="00791429" w:rsidRPr="00E35D53">
              <w:t>is $6</w:t>
            </w:r>
            <w:r w:rsidR="00E51524" w:rsidRPr="00E35D53">
              <w:t>4</w:t>
            </w:r>
            <w:r w:rsidR="00791429" w:rsidRPr="00E35D53">
              <w:t>0 per week. Income limits for singles with a disability is $5</w:t>
            </w:r>
            <w:r w:rsidR="00E51524" w:rsidRPr="00E35D53">
              <w:t>65</w:t>
            </w:r>
            <w:r w:rsidR="00791429" w:rsidRPr="00E35D53">
              <w:t xml:space="preserve"> ($7</w:t>
            </w:r>
            <w:r w:rsidR="00E51524" w:rsidRPr="00E35D53">
              <w:t>95</w:t>
            </w:r>
            <w:r w:rsidR="00791429" w:rsidRPr="00E35D53">
              <w:t xml:space="preserve"> in the</w:t>
            </w:r>
            <w:r w:rsidR="00791429" w:rsidRPr="000C05DC">
              <w:t xml:space="preserve"> north west &amp; remote areas). Singles over 60 are subject to a cash asset limit of $80 000, and singles with a disability may be subject to a cash asset limit of $100 000.</w:t>
            </w:r>
            <w:r w:rsidRPr="000C05DC">
              <w:t xml:space="preserve"> </w:t>
            </w:r>
            <w:r w:rsidR="00206AEC">
              <w:rPr>
                <w:rStyle w:val="NoteLabel"/>
              </w:rPr>
              <w:t>f</w:t>
            </w:r>
            <w:r w:rsidRPr="000C05DC">
              <w:t xml:space="preserve"> </w:t>
            </w:r>
            <w:r w:rsidR="00791429" w:rsidRPr="000C05DC">
              <w:t>Income limits are updated regularly consistent with changes to SA Average Weekly Earnings data published by the ABS. Asset limits are updated regularly consistent with changes to Centrelink asset limits (non</w:t>
            </w:r>
            <w:r w:rsidR="009C1C34">
              <w:noBreakHyphen/>
            </w:r>
            <w:r w:rsidR="00895E10">
              <w:t>home</w:t>
            </w:r>
            <w:r w:rsidR="00895E10">
              <w:noBreakHyphen/>
            </w:r>
            <w:r w:rsidR="00791429" w:rsidRPr="000C05DC">
              <w:t>owners), published by the DSS. Fixed term leases were implemented for all new tenants housed from 1 October 2010. The length of lease is determined on the basis of compliance with the conditions of tenancy and household circumstances.</w:t>
            </w:r>
            <w:r w:rsidR="00204049">
              <w:t xml:space="preserve"> </w:t>
            </w:r>
            <w:r w:rsidR="00206AEC">
              <w:rPr>
                <w:rStyle w:val="NoteLabel"/>
              </w:rPr>
              <w:t>g</w:t>
            </w:r>
            <w:r w:rsidRPr="000C05DC">
              <w:t xml:space="preserve"> </w:t>
            </w:r>
            <w:r w:rsidR="00791429" w:rsidRPr="000C05DC">
              <w:t>Public housing eligibility to apply to those CH properties where the State Housing Authority has an interest. In Funding Agreements Housing Tasmania typically stipulates rent to be no more than 30 per cent of gross income. However</w:t>
            </w:r>
            <w:r w:rsidR="000C3AB6">
              <w:t>,</w:t>
            </w:r>
            <w:r w:rsidR="00791429" w:rsidRPr="000C05DC">
              <w:t xml:space="preserve"> some community housing providers can and do have more generous rent policies, such as 25 per cent of income. Income limits are updated regularly consistent with changes to Low Income Health Care Card eligibility.</w:t>
            </w:r>
            <w:r w:rsidRPr="000C05DC">
              <w:t xml:space="preserve"> </w:t>
            </w:r>
            <w:r w:rsidR="00853B3E" w:rsidRPr="000C05DC">
              <w:t>Asset limits are for a single person.</w:t>
            </w:r>
            <w:r w:rsidR="00206AEC">
              <w:rPr>
                <w:rStyle w:val="NoteLabel"/>
              </w:rPr>
              <w:t>h</w:t>
            </w:r>
            <w:r w:rsidR="00853B3E" w:rsidRPr="000C05DC">
              <w:rPr>
                <w:rStyle w:val="NoteLabel"/>
              </w:rPr>
              <w:t> </w:t>
            </w:r>
            <w:r w:rsidR="00791429" w:rsidRPr="000C05DC">
              <w:t>Additional eligibility criteria may apply according to provider target group (including disability status).</w:t>
            </w:r>
          </w:p>
        </w:tc>
      </w:tr>
      <w:tr w:rsidR="00414467" w14:paraId="3525141C" w14:textId="77777777" w:rsidTr="00414467">
        <w:tc>
          <w:tcPr>
            <w:tcW w:w="5000" w:type="pct"/>
            <w:tcBorders>
              <w:top w:val="nil"/>
              <w:left w:val="nil"/>
              <w:bottom w:val="nil"/>
              <w:right w:val="nil"/>
            </w:tcBorders>
            <w:shd w:val="clear" w:color="auto" w:fill="auto"/>
          </w:tcPr>
          <w:p w14:paraId="74CB450E" w14:textId="567A75E9" w:rsidR="00414467" w:rsidRDefault="00414467" w:rsidP="00414467">
            <w:pPr>
              <w:pStyle w:val="Source"/>
            </w:pPr>
            <w:r>
              <w:rPr>
                <w:i/>
              </w:rPr>
              <w:t>Source</w:t>
            </w:r>
            <w:r w:rsidRPr="00167F06">
              <w:t xml:space="preserve">: </w:t>
            </w:r>
            <w:r w:rsidRPr="00F84C92">
              <w:t>State and Territory governments (unpublished).</w:t>
            </w:r>
          </w:p>
        </w:tc>
      </w:tr>
      <w:tr w:rsidR="00414467" w14:paraId="7E09D335" w14:textId="77777777" w:rsidTr="00414467">
        <w:tc>
          <w:tcPr>
            <w:tcW w:w="5000" w:type="pct"/>
            <w:tcBorders>
              <w:top w:val="nil"/>
              <w:left w:val="nil"/>
              <w:bottom w:val="single" w:sz="6" w:space="0" w:color="78A22F"/>
              <w:right w:val="nil"/>
            </w:tcBorders>
            <w:shd w:val="clear" w:color="auto" w:fill="auto"/>
          </w:tcPr>
          <w:p w14:paraId="6A8150E8" w14:textId="77777777" w:rsidR="00414467" w:rsidRDefault="00414467" w:rsidP="00414467">
            <w:pPr>
              <w:pStyle w:val="Box"/>
              <w:spacing w:before="0" w:line="120" w:lineRule="exact"/>
            </w:pPr>
          </w:p>
        </w:tc>
      </w:tr>
      <w:tr w:rsidR="00414467" w:rsidRPr="000863A5" w14:paraId="2F42E62B" w14:textId="77777777" w:rsidTr="00414467">
        <w:tc>
          <w:tcPr>
            <w:tcW w:w="5000" w:type="pct"/>
            <w:tcBorders>
              <w:top w:val="single" w:sz="6" w:space="0" w:color="78A22F"/>
              <w:left w:val="nil"/>
              <w:bottom w:val="nil"/>
              <w:right w:val="nil"/>
            </w:tcBorders>
          </w:tcPr>
          <w:p w14:paraId="59F88CEA" w14:textId="7CEFFB5C" w:rsidR="00414467" w:rsidRPr="00626D32" w:rsidRDefault="00414467" w:rsidP="00414467">
            <w:pPr>
              <w:pStyle w:val="BoxSpaceBelow"/>
            </w:pPr>
          </w:p>
        </w:tc>
      </w:tr>
    </w:tbl>
    <w:p w14:paraId="4464BC7F" w14:textId="77777777" w:rsidR="00A83249" w:rsidRDefault="00A83249" w:rsidP="007B2878">
      <w:pPr>
        <w:pStyle w:val="BoxSpaceAbove"/>
        <w:keepLines/>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EA2D45" w14:paraId="2ADDFA0B" w14:textId="77777777" w:rsidTr="00E30BA4">
        <w:trPr>
          <w:tblHeader/>
        </w:trPr>
        <w:tc>
          <w:tcPr>
            <w:tcW w:w="5000" w:type="pct"/>
            <w:shd w:val="clear" w:color="auto" w:fill="auto"/>
          </w:tcPr>
          <w:p w14:paraId="7A124B41" w14:textId="4A9F8C7C" w:rsidR="00EA2D45" w:rsidRPr="00784A05" w:rsidRDefault="00EA2D45" w:rsidP="002B6FDC">
            <w:pPr>
              <w:pStyle w:val="TableTitle"/>
            </w:pPr>
            <w:r>
              <w:rPr>
                <w:b w:val="0"/>
              </w:rPr>
              <w:t xml:space="preserve">Table </w:t>
            </w:r>
            <w:r w:rsidR="000C7D74">
              <w:rPr>
                <w:b w:val="0"/>
              </w:rPr>
              <w:t>18.</w:t>
            </w:r>
            <w:r w:rsidR="00777957">
              <w:rPr>
                <w:b w:val="0"/>
              </w:rPr>
              <w:t>4</w:t>
            </w:r>
            <w:r>
              <w:tab/>
            </w:r>
            <w:r w:rsidRPr="00EA2D45">
              <w:t xml:space="preserve">Treatment of assets </w:t>
            </w:r>
            <w:r w:rsidR="000A2664">
              <w:t>by housing agencies, 201</w:t>
            </w:r>
            <w:r w:rsidR="002C2EB1">
              <w:t>9</w:t>
            </w:r>
            <w:r w:rsidR="00062A07">
              <w:noBreakHyphen/>
            </w:r>
            <w:r w:rsidR="002C2EB1">
              <w:t>20</w:t>
            </w:r>
            <w:r>
              <w:rPr>
                <w:rStyle w:val="NoteLabel"/>
                <w:b/>
              </w:rPr>
              <w:t>a</w:t>
            </w:r>
            <w:r w:rsidR="00A630E6">
              <w:rPr>
                <w:rStyle w:val="NoteLabel"/>
                <w:b/>
              </w:rPr>
              <w:t>,</w:t>
            </w:r>
            <w:r w:rsidR="00024123">
              <w:rPr>
                <w:rStyle w:val="NoteLabel"/>
                <w:b/>
              </w:rPr>
              <w:t> </w:t>
            </w:r>
            <w:r w:rsidR="00A630E6">
              <w:rPr>
                <w:rStyle w:val="NoteLabel"/>
                <w:b/>
              </w:rPr>
              <w:t>b</w:t>
            </w:r>
          </w:p>
        </w:tc>
      </w:tr>
      <w:tr w:rsidR="00EA2D45" w14:paraId="52F620FA" w14:textId="77777777" w:rsidTr="00E30BA4">
        <w:tc>
          <w:tcPr>
            <w:tcW w:w="5000" w:type="pct"/>
            <w:shd w:val="clear" w:color="auto" w:fill="auto"/>
          </w:tcPr>
          <w:tbl>
            <w:tblPr>
              <w:tblW w:w="13322" w:type="dxa"/>
              <w:tblCellMar>
                <w:top w:w="28" w:type="dxa"/>
                <w:left w:w="0" w:type="dxa"/>
                <w:right w:w="0" w:type="dxa"/>
              </w:tblCellMar>
              <w:tblLook w:val="0000" w:firstRow="0" w:lastRow="0" w:firstColumn="0" w:lastColumn="0" w:noHBand="0" w:noVBand="0"/>
            </w:tblPr>
            <w:tblGrid>
              <w:gridCol w:w="1180"/>
              <w:gridCol w:w="3035"/>
              <w:gridCol w:w="1415"/>
              <w:gridCol w:w="181"/>
              <w:gridCol w:w="1234"/>
              <w:gridCol w:w="1415"/>
              <w:gridCol w:w="1417"/>
              <w:gridCol w:w="1417"/>
              <w:gridCol w:w="930"/>
              <w:gridCol w:w="1098"/>
            </w:tblGrid>
            <w:tr w:rsidR="007B2878" w14:paraId="490E1B5C" w14:textId="77777777" w:rsidTr="00E30BA4">
              <w:trPr>
                <w:trHeight w:val="341"/>
                <w:tblHeader/>
              </w:trPr>
              <w:tc>
                <w:tcPr>
                  <w:tcW w:w="443" w:type="pct"/>
                  <w:tcBorders>
                    <w:top w:val="single" w:sz="6" w:space="0" w:color="BFBFBF"/>
                    <w:bottom w:val="single" w:sz="6" w:space="0" w:color="BFBFBF"/>
                  </w:tcBorders>
                  <w:shd w:val="clear" w:color="auto" w:fill="auto"/>
                  <w:tcMar>
                    <w:top w:w="28" w:type="dxa"/>
                  </w:tcMar>
                </w:tcPr>
                <w:p w14:paraId="20CE5489" w14:textId="77777777" w:rsidR="00EA2D45" w:rsidRPr="003C793B" w:rsidRDefault="00EA2D45" w:rsidP="003C793B">
                  <w:pPr>
                    <w:pStyle w:val="TableColumnHeading"/>
                    <w:jc w:val="center"/>
                  </w:pPr>
                </w:p>
              </w:tc>
              <w:tc>
                <w:tcPr>
                  <w:tcW w:w="1139" w:type="pct"/>
                  <w:tcBorders>
                    <w:top w:val="single" w:sz="6" w:space="0" w:color="BFBFBF"/>
                    <w:bottom w:val="single" w:sz="6" w:space="0" w:color="BFBFBF"/>
                  </w:tcBorders>
                </w:tcPr>
                <w:p w14:paraId="268DCBC3" w14:textId="7AE25900" w:rsidR="00EA2D45" w:rsidRPr="003C793B" w:rsidRDefault="00EA2D45" w:rsidP="003C793B">
                  <w:pPr>
                    <w:pStyle w:val="TableColumnHeading"/>
                    <w:jc w:val="center"/>
                  </w:pPr>
                  <w:r w:rsidRPr="003C793B">
                    <w:t>NSW</w:t>
                  </w:r>
                </w:p>
              </w:tc>
              <w:tc>
                <w:tcPr>
                  <w:tcW w:w="531" w:type="pct"/>
                  <w:tcBorders>
                    <w:top w:val="single" w:sz="6" w:space="0" w:color="BFBFBF"/>
                    <w:bottom w:val="single" w:sz="6" w:space="0" w:color="BFBFBF"/>
                  </w:tcBorders>
                  <w:shd w:val="clear" w:color="auto" w:fill="auto"/>
                  <w:tcMar>
                    <w:top w:w="28" w:type="dxa"/>
                  </w:tcMar>
                </w:tcPr>
                <w:p w14:paraId="28CEAFF6" w14:textId="76F96183" w:rsidR="00EA2D45" w:rsidRPr="003C793B" w:rsidRDefault="00EA2D45" w:rsidP="00EB378B">
                  <w:pPr>
                    <w:pStyle w:val="TableColumnHeading"/>
                    <w:jc w:val="center"/>
                  </w:pPr>
                  <w:r w:rsidRPr="003C793B">
                    <w:t>Vic</w:t>
                  </w:r>
                  <w:r w:rsidR="00EB378B">
                    <w:rPr>
                      <w:rStyle w:val="NoteLabel"/>
                      <w:i w:val="0"/>
                    </w:rPr>
                    <w:t>c</w:t>
                  </w:r>
                </w:p>
              </w:tc>
              <w:tc>
                <w:tcPr>
                  <w:tcW w:w="531" w:type="pct"/>
                  <w:gridSpan w:val="2"/>
                  <w:tcBorders>
                    <w:top w:val="single" w:sz="6" w:space="0" w:color="BFBFBF"/>
                    <w:bottom w:val="single" w:sz="6" w:space="0" w:color="BFBFBF"/>
                  </w:tcBorders>
                  <w:shd w:val="clear" w:color="auto" w:fill="auto"/>
                  <w:tcMar>
                    <w:top w:w="28" w:type="dxa"/>
                  </w:tcMar>
                </w:tcPr>
                <w:p w14:paraId="1C414C15" w14:textId="3B6F72EC" w:rsidR="00EA2D45" w:rsidRPr="003C793B" w:rsidRDefault="00EA2D45" w:rsidP="00EB378B">
                  <w:pPr>
                    <w:pStyle w:val="TableColumnHeading"/>
                    <w:ind w:right="28"/>
                    <w:jc w:val="center"/>
                  </w:pPr>
                  <w:r w:rsidRPr="003C793B">
                    <w:t>Qld</w:t>
                  </w:r>
                  <w:r w:rsidR="00EB378B">
                    <w:rPr>
                      <w:rStyle w:val="NoteLabel"/>
                      <w:i w:val="0"/>
                    </w:rPr>
                    <w:t>d</w:t>
                  </w:r>
                </w:p>
              </w:tc>
              <w:tc>
                <w:tcPr>
                  <w:tcW w:w="531" w:type="pct"/>
                  <w:tcBorders>
                    <w:top w:val="single" w:sz="6" w:space="0" w:color="BFBFBF"/>
                    <w:bottom w:val="single" w:sz="6" w:space="0" w:color="BFBFBF"/>
                  </w:tcBorders>
                </w:tcPr>
                <w:p w14:paraId="101081B2" w14:textId="54849C52" w:rsidR="00EA2D45" w:rsidRPr="003C793B" w:rsidRDefault="00EA2D45" w:rsidP="003C793B">
                  <w:pPr>
                    <w:pStyle w:val="TableColumnHeading"/>
                    <w:ind w:right="28"/>
                    <w:jc w:val="center"/>
                  </w:pPr>
                  <w:r w:rsidRPr="003C793B">
                    <w:t>WA</w:t>
                  </w:r>
                </w:p>
              </w:tc>
              <w:tc>
                <w:tcPr>
                  <w:tcW w:w="532" w:type="pct"/>
                  <w:tcBorders>
                    <w:top w:val="single" w:sz="6" w:space="0" w:color="BFBFBF"/>
                    <w:bottom w:val="single" w:sz="6" w:space="0" w:color="BFBFBF"/>
                  </w:tcBorders>
                </w:tcPr>
                <w:p w14:paraId="644C48C0" w14:textId="2541EFF4" w:rsidR="00EA2D45" w:rsidRPr="003C793B" w:rsidRDefault="00EA2D45" w:rsidP="003C793B">
                  <w:pPr>
                    <w:pStyle w:val="TableColumnHeading"/>
                    <w:ind w:right="28"/>
                    <w:jc w:val="center"/>
                  </w:pPr>
                  <w:r w:rsidRPr="003C793B">
                    <w:t>SA</w:t>
                  </w:r>
                </w:p>
              </w:tc>
              <w:tc>
                <w:tcPr>
                  <w:tcW w:w="532" w:type="pct"/>
                  <w:tcBorders>
                    <w:top w:val="single" w:sz="6" w:space="0" w:color="BFBFBF"/>
                    <w:bottom w:val="single" w:sz="6" w:space="0" w:color="BFBFBF"/>
                  </w:tcBorders>
                </w:tcPr>
                <w:p w14:paraId="5D8FEBB4" w14:textId="6D9F34C9" w:rsidR="00EA2D45" w:rsidRPr="003C793B" w:rsidRDefault="00EA2D45" w:rsidP="003C793B">
                  <w:pPr>
                    <w:pStyle w:val="TableColumnHeading"/>
                    <w:ind w:right="28"/>
                    <w:jc w:val="center"/>
                  </w:pPr>
                  <w:r w:rsidRPr="003C793B">
                    <w:t>Tas</w:t>
                  </w:r>
                </w:p>
              </w:tc>
              <w:tc>
                <w:tcPr>
                  <w:tcW w:w="349" w:type="pct"/>
                  <w:tcBorders>
                    <w:top w:val="single" w:sz="6" w:space="0" w:color="BFBFBF"/>
                    <w:bottom w:val="single" w:sz="6" w:space="0" w:color="BFBFBF"/>
                  </w:tcBorders>
                </w:tcPr>
                <w:p w14:paraId="75523F30" w14:textId="0FB8F85C" w:rsidR="00EA2D45" w:rsidRPr="003C793B" w:rsidRDefault="00EA2D45" w:rsidP="003C793B">
                  <w:pPr>
                    <w:pStyle w:val="TableColumnHeading"/>
                    <w:ind w:right="28"/>
                    <w:jc w:val="center"/>
                  </w:pPr>
                  <w:r w:rsidRPr="003C793B">
                    <w:t>ACT</w:t>
                  </w:r>
                </w:p>
              </w:tc>
              <w:tc>
                <w:tcPr>
                  <w:tcW w:w="412" w:type="pct"/>
                  <w:tcBorders>
                    <w:top w:val="single" w:sz="6" w:space="0" w:color="BFBFBF"/>
                    <w:bottom w:val="single" w:sz="6" w:space="0" w:color="BFBFBF"/>
                  </w:tcBorders>
                </w:tcPr>
                <w:p w14:paraId="6F4F1CBB" w14:textId="7FCB4F2A" w:rsidR="00EA2D45" w:rsidRPr="003C793B" w:rsidRDefault="00EA2D45" w:rsidP="00EB378B">
                  <w:pPr>
                    <w:pStyle w:val="TableColumnHeading"/>
                    <w:ind w:right="28"/>
                    <w:jc w:val="center"/>
                  </w:pPr>
                  <w:r w:rsidRPr="003C793B">
                    <w:t>NT</w:t>
                  </w:r>
                  <w:r w:rsidR="00EB378B">
                    <w:rPr>
                      <w:rStyle w:val="NoteLabel"/>
                      <w:i w:val="0"/>
                    </w:rPr>
                    <w:t>e</w:t>
                  </w:r>
                </w:p>
              </w:tc>
            </w:tr>
            <w:tr w:rsidR="00E30BA4" w14:paraId="344FCF35" w14:textId="77777777" w:rsidTr="00BF3B70">
              <w:tc>
                <w:tcPr>
                  <w:tcW w:w="1582" w:type="pct"/>
                  <w:gridSpan w:val="2"/>
                  <w:tcBorders>
                    <w:top w:val="single" w:sz="6" w:space="0" w:color="BFBFBF"/>
                  </w:tcBorders>
                </w:tcPr>
                <w:p w14:paraId="507FE276" w14:textId="778F9098" w:rsidR="00E30BA4" w:rsidRPr="00510B19" w:rsidRDefault="00366783" w:rsidP="00366783">
                  <w:pPr>
                    <w:pStyle w:val="TableUnitsRow"/>
                    <w:jc w:val="left"/>
                  </w:pPr>
                  <w:r>
                    <w:rPr>
                      <w:rFonts w:cs="Arial"/>
                      <w:b/>
                      <w:szCs w:val="18"/>
                    </w:rPr>
                    <w:t>Revaluation method</w:t>
                  </w:r>
                </w:p>
              </w:tc>
              <w:tc>
                <w:tcPr>
                  <w:tcW w:w="531" w:type="pct"/>
                  <w:tcBorders>
                    <w:top w:val="single" w:sz="6" w:space="0" w:color="BFBFBF"/>
                  </w:tcBorders>
                </w:tcPr>
                <w:p w14:paraId="551FBA88" w14:textId="77777777" w:rsidR="00E30BA4" w:rsidRPr="00510B19" w:rsidRDefault="00E30BA4" w:rsidP="00E30BA4">
                  <w:pPr>
                    <w:pStyle w:val="TableUnitsRow"/>
                  </w:pPr>
                </w:p>
              </w:tc>
              <w:tc>
                <w:tcPr>
                  <w:tcW w:w="531" w:type="pct"/>
                  <w:gridSpan w:val="2"/>
                  <w:tcBorders>
                    <w:top w:val="single" w:sz="6" w:space="0" w:color="BFBFBF"/>
                  </w:tcBorders>
                </w:tcPr>
                <w:p w14:paraId="3D43E24D" w14:textId="77777777" w:rsidR="00E30BA4" w:rsidRPr="00510B19" w:rsidRDefault="00E30BA4" w:rsidP="00E30BA4">
                  <w:pPr>
                    <w:pStyle w:val="TableUnitsRow"/>
                    <w:ind w:right="28"/>
                  </w:pPr>
                </w:p>
              </w:tc>
              <w:tc>
                <w:tcPr>
                  <w:tcW w:w="531" w:type="pct"/>
                  <w:tcBorders>
                    <w:top w:val="single" w:sz="6" w:space="0" w:color="BFBFBF"/>
                  </w:tcBorders>
                </w:tcPr>
                <w:p w14:paraId="704D7737" w14:textId="77777777" w:rsidR="00E30BA4" w:rsidRPr="00510B19" w:rsidRDefault="00E30BA4" w:rsidP="00E30BA4">
                  <w:pPr>
                    <w:pStyle w:val="TableUnitsRow"/>
                    <w:ind w:right="28"/>
                  </w:pPr>
                </w:p>
              </w:tc>
              <w:tc>
                <w:tcPr>
                  <w:tcW w:w="532" w:type="pct"/>
                  <w:tcBorders>
                    <w:top w:val="single" w:sz="6" w:space="0" w:color="BFBFBF"/>
                  </w:tcBorders>
                </w:tcPr>
                <w:p w14:paraId="66E3719D" w14:textId="77777777" w:rsidR="00E30BA4" w:rsidRPr="00510B19" w:rsidRDefault="00E30BA4" w:rsidP="00E30BA4">
                  <w:pPr>
                    <w:pStyle w:val="TableUnitsRow"/>
                    <w:ind w:right="28"/>
                  </w:pPr>
                </w:p>
              </w:tc>
              <w:tc>
                <w:tcPr>
                  <w:tcW w:w="532" w:type="pct"/>
                  <w:tcBorders>
                    <w:top w:val="single" w:sz="6" w:space="0" w:color="BFBFBF"/>
                  </w:tcBorders>
                </w:tcPr>
                <w:p w14:paraId="3E8A7EF5" w14:textId="77777777" w:rsidR="00E30BA4" w:rsidRPr="00510B19" w:rsidRDefault="00E30BA4" w:rsidP="00E30BA4">
                  <w:pPr>
                    <w:pStyle w:val="TableUnitsRow"/>
                    <w:ind w:right="28"/>
                  </w:pPr>
                </w:p>
              </w:tc>
              <w:tc>
                <w:tcPr>
                  <w:tcW w:w="349" w:type="pct"/>
                  <w:tcBorders>
                    <w:top w:val="single" w:sz="6" w:space="0" w:color="BFBFBF"/>
                  </w:tcBorders>
                </w:tcPr>
                <w:p w14:paraId="62355E8F" w14:textId="77777777" w:rsidR="00E30BA4" w:rsidRPr="00510B19" w:rsidRDefault="00E30BA4" w:rsidP="00E30BA4">
                  <w:pPr>
                    <w:pStyle w:val="TableUnitsRow"/>
                    <w:ind w:right="28"/>
                  </w:pPr>
                </w:p>
              </w:tc>
              <w:tc>
                <w:tcPr>
                  <w:tcW w:w="412" w:type="pct"/>
                  <w:tcBorders>
                    <w:top w:val="single" w:sz="6" w:space="0" w:color="BFBFBF"/>
                  </w:tcBorders>
                </w:tcPr>
                <w:p w14:paraId="347980D2" w14:textId="77777777" w:rsidR="00E30BA4" w:rsidRPr="00510B19" w:rsidRDefault="00E30BA4" w:rsidP="00E30BA4">
                  <w:pPr>
                    <w:pStyle w:val="TableUnitsRow"/>
                    <w:ind w:right="28"/>
                  </w:pPr>
                </w:p>
              </w:tc>
            </w:tr>
            <w:tr w:rsidR="007B2878" w14:paraId="57CE3B72" w14:textId="77777777" w:rsidTr="00BF3B70">
              <w:tc>
                <w:tcPr>
                  <w:tcW w:w="443" w:type="pct"/>
                </w:tcPr>
                <w:p w14:paraId="74CCF2B3" w14:textId="2BCBD7AD" w:rsidR="009150D1" w:rsidRDefault="009150D1" w:rsidP="009150D1">
                  <w:pPr>
                    <w:pStyle w:val="TableUnitsRow"/>
                    <w:jc w:val="left"/>
                  </w:pPr>
                  <w:r w:rsidRPr="009150D1">
                    <w:t>Land</w:t>
                  </w:r>
                </w:p>
              </w:tc>
              <w:tc>
                <w:tcPr>
                  <w:tcW w:w="1139" w:type="pct"/>
                </w:tcPr>
                <w:p w14:paraId="7587C40C" w14:textId="0008A4DB" w:rsidR="009150D1" w:rsidRDefault="009150D1" w:rsidP="00E30BA4">
                  <w:pPr>
                    <w:pStyle w:val="TableUnitsRow"/>
                    <w:jc w:val="center"/>
                  </w:pPr>
                  <w:r w:rsidRPr="009150D1">
                    <w:t>Vacant land (with registered title)</w:t>
                  </w:r>
                  <w:r w:rsidR="00C47BFD">
                    <w:t xml:space="preserve"> </w:t>
                  </w:r>
                  <w:r w:rsidRPr="009150D1">
                    <w:t xml:space="preserve">and land held for redevelopment based on Valuer general property information in the </w:t>
                  </w:r>
                  <w:r w:rsidR="00E30BA4" w:rsidRPr="009150D1">
                    <w:t xml:space="preserve">rating and taxation purposes </w:t>
                  </w:r>
                  <w:r w:rsidRPr="009150D1">
                    <w:t>valuation database.</w:t>
                  </w:r>
                </w:p>
              </w:tc>
              <w:tc>
                <w:tcPr>
                  <w:tcW w:w="531" w:type="pct"/>
                </w:tcPr>
                <w:p w14:paraId="7478E67C" w14:textId="4941C520" w:rsidR="009150D1" w:rsidRDefault="009150D1" w:rsidP="009150D1">
                  <w:pPr>
                    <w:pStyle w:val="TableUnitsRow"/>
                    <w:jc w:val="center"/>
                  </w:pPr>
                  <w:r w:rsidRPr="0020663B">
                    <w:t>Fair value</w:t>
                  </w:r>
                </w:p>
              </w:tc>
              <w:tc>
                <w:tcPr>
                  <w:tcW w:w="531" w:type="pct"/>
                  <w:gridSpan w:val="2"/>
                </w:tcPr>
                <w:p w14:paraId="5D2F1310" w14:textId="1CE0C77E" w:rsidR="009150D1" w:rsidRDefault="009150D1" w:rsidP="009150D1">
                  <w:pPr>
                    <w:pStyle w:val="TableUnitsRow"/>
                    <w:ind w:right="28"/>
                    <w:jc w:val="center"/>
                  </w:pPr>
                  <w:r w:rsidRPr="0020663B">
                    <w:t>Fair value (in accordance with AASB13)</w:t>
                  </w:r>
                </w:p>
              </w:tc>
              <w:tc>
                <w:tcPr>
                  <w:tcW w:w="531" w:type="pct"/>
                </w:tcPr>
                <w:p w14:paraId="71FB3BEE" w14:textId="3EE3BF9C" w:rsidR="009150D1" w:rsidRDefault="009150D1" w:rsidP="009150D1">
                  <w:pPr>
                    <w:pStyle w:val="TableUnitsRow"/>
                    <w:ind w:right="28"/>
                    <w:jc w:val="center"/>
                  </w:pPr>
                  <w:r w:rsidRPr="0020663B">
                    <w:t>Fair value (in accordance with AASB13)</w:t>
                  </w:r>
                </w:p>
              </w:tc>
              <w:tc>
                <w:tcPr>
                  <w:tcW w:w="532" w:type="pct"/>
                </w:tcPr>
                <w:p w14:paraId="4E37019C" w14:textId="5F34EB30" w:rsidR="009150D1" w:rsidRDefault="009150D1" w:rsidP="009150D1">
                  <w:pPr>
                    <w:pStyle w:val="TableUnitsRow"/>
                    <w:ind w:right="28"/>
                    <w:jc w:val="center"/>
                  </w:pPr>
                  <w:r w:rsidRPr="0020663B">
                    <w:t>Market</w:t>
                  </w:r>
                </w:p>
              </w:tc>
              <w:tc>
                <w:tcPr>
                  <w:tcW w:w="532" w:type="pct"/>
                </w:tcPr>
                <w:p w14:paraId="2F45AA18" w14:textId="16B301ED" w:rsidR="009150D1" w:rsidRDefault="009150D1" w:rsidP="009150D1">
                  <w:pPr>
                    <w:pStyle w:val="TableUnitsRow"/>
                    <w:ind w:right="28"/>
                    <w:jc w:val="center"/>
                  </w:pPr>
                  <w:r w:rsidRPr="0020663B">
                    <w:t>Net</w:t>
                  </w:r>
                </w:p>
              </w:tc>
              <w:tc>
                <w:tcPr>
                  <w:tcW w:w="349" w:type="pct"/>
                </w:tcPr>
                <w:p w14:paraId="1E9B2E31" w14:textId="60107AEE" w:rsidR="009150D1" w:rsidRDefault="009150D1" w:rsidP="009150D1">
                  <w:pPr>
                    <w:pStyle w:val="TableUnitsRow"/>
                    <w:ind w:right="28"/>
                    <w:jc w:val="center"/>
                  </w:pPr>
                  <w:r w:rsidRPr="0020663B">
                    <w:t>Market</w:t>
                  </w:r>
                </w:p>
              </w:tc>
              <w:tc>
                <w:tcPr>
                  <w:tcW w:w="412" w:type="pct"/>
                </w:tcPr>
                <w:p w14:paraId="4247CE9D" w14:textId="4FF56FBE" w:rsidR="009150D1" w:rsidRDefault="009150D1" w:rsidP="009150D1">
                  <w:pPr>
                    <w:pStyle w:val="TableUnitsRow"/>
                    <w:ind w:right="28"/>
                    <w:jc w:val="center"/>
                  </w:pPr>
                  <w:r w:rsidRPr="0020663B">
                    <w:t>Market Value (public housing); Nil (SOMIH)</w:t>
                  </w:r>
                </w:p>
              </w:tc>
            </w:tr>
            <w:tr w:rsidR="007B2878" w14:paraId="74575BE9" w14:textId="77777777" w:rsidTr="00E30BA4">
              <w:trPr>
                <w:trHeight w:val="1812"/>
              </w:trPr>
              <w:tc>
                <w:tcPr>
                  <w:tcW w:w="443" w:type="pct"/>
                </w:tcPr>
                <w:p w14:paraId="1DCB5929" w14:textId="6AF8ABB4" w:rsidR="009150D1" w:rsidRDefault="009150D1" w:rsidP="009150D1">
                  <w:pPr>
                    <w:pStyle w:val="TableBodyText"/>
                    <w:jc w:val="left"/>
                  </w:pPr>
                  <w:r w:rsidRPr="009150D1">
                    <w:t>Buildings</w:t>
                  </w:r>
                </w:p>
              </w:tc>
              <w:tc>
                <w:tcPr>
                  <w:tcW w:w="1139" w:type="pct"/>
                </w:tcPr>
                <w:p w14:paraId="1D283E15" w14:textId="7B2A0D1D" w:rsidR="009150D1" w:rsidRDefault="00504673" w:rsidP="001C24B4">
                  <w:pPr>
                    <w:pStyle w:val="TableBodyText"/>
                    <w:jc w:val="center"/>
                  </w:pPr>
                  <w:r w:rsidRPr="00504673">
                    <w:t>Fair value determined by applying an annual rolling benchmark valuation approach whereby a third of the Corporation</w:t>
                  </w:r>
                  <w:r w:rsidR="00C47BFD">
                    <w:t>’</w:t>
                  </w:r>
                  <w:r w:rsidRPr="00504673">
                    <w:t>s benchmark properties (approx</w:t>
                  </w:r>
                  <w:r w:rsidR="001C24B4">
                    <w:t>.</w:t>
                  </w:r>
                  <w:r w:rsidRPr="00504673">
                    <w:t xml:space="preserve"> 1800) are valued by accredited property valuers with reference to market sales comparisons to calculate a market movement index, which is then applied to the remaining two thirds of the benchmark properties.</w:t>
                  </w:r>
                </w:p>
              </w:tc>
              <w:tc>
                <w:tcPr>
                  <w:tcW w:w="531" w:type="pct"/>
                </w:tcPr>
                <w:p w14:paraId="28168D15" w14:textId="47CED291" w:rsidR="009150D1" w:rsidRDefault="009150D1" w:rsidP="009150D1">
                  <w:pPr>
                    <w:pStyle w:val="TableBodyText"/>
                    <w:jc w:val="center"/>
                  </w:pPr>
                  <w:r w:rsidRPr="00336F57">
                    <w:t>Fair value</w:t>
                  </w:r>
                </w:p>
              </w:tc>
              <w:tc>
                <w:tcPr>
                  <w:tcW w:w="531" w:type="pct"/>
                  <w:gridSpan w:val="2"/>
                </w:tcPr>
                <w:p w14:paraId="042F33AD" w14:textId="566EDE25" w:rsidR="009150D1" w:rsidRDefault="009150D1" w:rsidP="009150D1">
                  <w:pPr>
                    <w:pStyle w:val="TableBodyText"/>
                    <w:ind w:right="28"/>
                    <w:jc w:val="center"/>
                  </w:pPr>
                  <w:r w:rsidRPr="00336F57">
                    <w:t>Fair value (in accordance with AASB13)</w:t>
                  </w:r>
                </w:p>
              </w:tc>
              <w:tc>
                <w:tcPr>
                  <w:tcW w:w="531" w:type="pct"/>
                </w:tcPr>
                <w:p w14:paraId="63860217" w14:textId="06AAC454" w:rsidR="009150D1" w:rsidRDefault="009150D1" w:rsidP="009150D1">
                  <w:pPr>
                    <w:pStyle w:val="TableBodyText"/>
                    <w:ind w:right="28"/>
                    <w:jc w:val="center"/>
                  </w:pPr>
                  <w:r w:rsidRPr="00336F57">
                    <w:t>Fair value (in accordance with AASB13)</w:t>
                  </w:r>
                </w:p>
              </w:tc>
              <w:tc>
                <w:tcPr>
                  <w:tcW w:w="532" w:type="pct"/>
                </w:tcPr>
                <w:p w14:paraId="270B08F8" w14:textId="40B5374A" w:rsidR="009150D1" w:rsidRDefault="009150D1" w:rsidP="009150D1">
                  <w:pPr>
                    <w:pStyle w:val="TableBodyText"/>
                    <w:ind w:right="28"/>
                    <w:jc w:val="center"/>
                  </w:pPr>
                  <w:r w:rsidRPr="00336F57">
                    <w:t>Market</w:t>
                  </w:r>
                </w:p>
              </w:tc>
              <w:tc>
                <w:tcPr>
                  <w:tcW w:w="532" w:type="pct"/>
                </w:tcPr>
                <w:p w14:paraId="6D63D90C" w14:textId="1F69C062" w:rsidR="009150D1" w:rsidRDefault="009150D1" w:rsidP="009150D1">
                  <w:pPr>
                    <w:pStyle w:val="TableBodyText"/>
                    <w:ind w:right="28"/>
                    <w:jc w:val="center"/>
                  </w:pPr>
                  <w:r w:rsidRPr="00336F57">
                    <w:t>Net</w:t>
                  </w:r>
                </w:p>
              </w:tc>
              <w:tc>
                <w:tcPr>
                  <w:tcW w:w="349" w:type="pct"/>
                </w:tcPr>
                <w:p w14:paraId="2A8AA216" w14:textId="0564F1F0" w:rsidR="009150D1" w:rsidRDefault="009150D1" w:rsidP="009150D1">
                  <w:pPr>
                    <w:pStyle w:val="TableBodyText"/>
                    <w:ind w:right="28"/>
                    <w:jc w:val="center"/>
                  </w:pPr>
                  <w:r w:rsidRPr="00336F57">
                    <w:t>Market</w:t>
                  </w:r>
                </w:p>
              </w:tc>
              <w:tc>
                <w:tcPr>
                  <w:tcW w:w="412" w:type="pct"/>
                </w:tcPr>
                <w:p w14:paraId="2379023B" w14:textId="485D8DFD" w:rsidR="009150D1" w:rsidRDefault="009150D1" w:rsidP="009150D1">
                  <w:pPr>
                    <w:pStyle w:val="TableBodyText"/>
                    <w:ind w:right="28"/>
                    <w:jc w:val="center"/>
                  </w:pPr>
                  <w:r w:rsidRPr="00336F57">
                    <w:t>Market Value (public housing); Historical Replacement Cost (SOMIH)</w:t>
                  </w:r>
                </w:p>
              </w:tc>
            </w:tr>
            <w:tr w:rsidR="007B2878" w14:paraId="3F571D72" w14:textId="77777777" w:rsidTr="00E30BA4">
              <w:tc>
                <w:tcPr>
                  <w:tcW w:w="443" w:type="pct"/>
                  <w:shd w:val="clear" w:color="auto" w:fill="auto"/>
                </w:tcPr>
                <w:p w14:paraId="566DE89D" w14:textId="7830E4AE" w:rsidR="009150D1" w:rsidRPr="007B2878" w:rsidRDefault="009150D1" w:rsidP="009150D1">
                  <w:pPr>
                    <w:pStyle w:val="TableBodyText"/>
                    <w:jc w:val="left"/>
                    <w:rPr>
                      <w:szCs w:val="18"/>
                    </w:rPr>
                  </w:pPr>
                  <w:r w:rsidRPr="007B2878">
                    <w:rPr>
                      <w:szCs w:val="18"/>
                    </w:rPr>
                    <w:t>Other assets</w:t>
                  </w:r>
                </w:p>
              </w:tc>
              <w:tc>
                <w:tcPr>
                  <w:tcW w:w="1139" w:type="pct"/>
                </w:tcPr>
                <w:p w14:paraId="5181A953" w14:textId="02119C00" w:rsidR="009150D1" w:rsidRPr="007B2878" w:rsidRDefault="00504673" w:rsidP="009150D1">
                  <w:pPr>
                    <w:pStyle w:val="TableBodyText"/>
                    <w:jc w:val="center"/>
                    <w:rPr>
                      <w:szCs w:val="18"/>
                    </w:rPr>
                  </w:pPr>
                  <w:r w:rsidRPr="007B2878">
                    <w:rPr>
                      <w:szCs w:val="18"/>
                    </w:rPr>
                    <w:t>Based on historical cost and not revalued each year.</w:t>
                  </w:r>
                </w:p>
              </w:tc>
              <w:tc>
                <w:tcPr>
                  <w:tcW w:w="531" w:type="pct"/>
                  <w:shd w:val="clear" w:color="auto" w:fill="auto"/>
                </w:tcPr>
                <w:p w14:paraId="7649AA45" w14:textId="66AD327E" w:rsidR="009150D1" w:rsidRPr="007B2878" w:rsidRDefault="009150D1" w:rsidP="009150D1">
                  <w:pPr>
                    <w:pStyle w:val="TableBodyText"/>
                    <w:jc w:val="center"/>
                    <w:rPr>
                      <w:szCs w:val="18"/>
                    </w:rPr>
                  </w:pPr>
                  <w:r w:rsidRPr="007B2878">
                    <w:rPr>
                      <w:szCs w:val="18"/>
                    </w:rPr>
                    <w:t>Fair value</w:t>
                  </w:r>
                </w:p>
              </w:tc>
              <w:tc>
                <w:tcPr>
                  <w:tcW w:w="531" w:type="pct"/>
                  <w:gridSpan w:val="2"/>
                  <w:shd w:val="clear" w:color="auto" w:fill="auto"/>
                </w:tcPr>
                <w:p w14:paraId="03160019" w14:textId="64F6E660" w:rsidR="009150D1" w:rsidRPr="007B2878" w:rsidRDefault="00D75C46" w:rsidP="009150D1">
                  <w:pPr>
                    <w:pStyle w:val="TableBodyText"/>
                    <w:ind w:right="28"/>
                    <w:jc w:val="center"/>
                    <w:rPr>
                      <w:szCs w:val="18"/>
                    </w:rPr>
                  </w:pPr>
                  <w:r w:rsidRPr="004C48F1">
                    <w:rPr>
                      <w:szCs w:val="18"/>
                    </w:rPr>
                    <w:t>At cost</w:t>
                  </w:r>
                </w:p>
              </w:tc>
              <w:tc>
                <w:tcPr>
                  <w:tcW w:w="531" w:type="pct"/>
                </w:tcPr>
                <w:p w14:paraId="7E0E6943" w14:textId="67DDB743" w:rsidR="009150D1" w:rsidRPr="007B2878" w:rsidRDefault="009150D1" w:rsidP="009150D1">
                  <w:pPr>
                    <w:pStyle w:val="TableBodyText"/>
                    <w:ind w:right="28"/>
                    <w:jc w:val="center"/>
                    <w:rPr>
                      <w:szCs w:val="18"/>
                    </w:rPr>
                  </w:pPr>
                  <w:r w:rsidRPr="007B2878">
                    <w:rPr>
                      <w:szCs w:val="18"/>
                    </w:rPr>
                    <w:t>At cost</w:t>
                  </w:r>
                </w:p>
              </w:tc>
              <w:tc>
                <w:tcPr>
                  <w:tcW w:w="532" w:type="pct"/>
                </w:tcPr>
                <w:p w14:paraId="09E939AA" w14:textId="1F608E64" w:rsidR="009150D1" w:rsidRPr="007B2878" w:rsidRDefault="009150D1" w:rsidP="009150D1">
                  <w:pPr>
                    <w:pStyle w:val="TableBodyText"/>
                    <w:ind w:right="28"/>
                    <w:jc w:val="center"/>
                    <w:rPr>
                      <w:szCs w:val="18"/>
                    </w:rPr>
                  </w:pPr>
                  <w:r w:rsidRPr="007B2878">
                    <w:rPr>
                      <w:szCs w:val="18"/>
                    </w:rPr>
                    <w:t>Historical cost</w:t>
                  </w:r>
                </w:p>
              </w:tc>
              <w:tc>
                <w:tcPr>
                  <w:tcW w:w="532" w:type="pct"/>
                </w:tcPr>
                <w:p w14:paraId="5355DEC9" w14:textId="72C7A8BB" w:rsidR="009150D1" w:rsidRPr="007B2878" w:rsidRDefault="009150D1" w:rsidP="009150D1">
                  <w:pPr>
                    <w:pStyle w:val="TableBodyText"/>
                    <w:ind w:right="28"/>
                    <w:jc w:val="center"/>
                    <w:rPr>
                      <w:szCs w:val="18"/>
                    </w:rPr>
                  </w:pPr>
                  <w:r w:rsidRPr="007B2878">
                    <w:rPr>
                      <w:szCs w:val="18"/>
                    </w:rPr>
                    <w:t>..</w:t>
                  </w:r>
                </w:p>
              </w:tc>
              <w:tc>
                <w:tcPr>
                  <w:tcW w:w="349" w:type="pct"/>
                </w:tcPr>
                <w:p w14:paraId="2050AF6C" w14:textId="6CAE11A3" w:rsidR="009150D1" w:rsidRPr="007B2878" w:rsidRDefault="009150D1" w:rsidP="009150D1">
                  <w:pPr>
                    <w:pStyle w:val="TableBodyText"/>
                    <w:ind w:right="28"/>
                    <w:jc w:val="center"/>
                    <w:rPr>
                      <w:szCs w:val="18"/>
                    </w:rPr>
                  </w:pPr>
                  <w:r w:rsidRPr="007B2878">
                    <w:rPr>
                      <w:szCs w:val="18"/>
                    </w:rPr>
                    <w:t xml:space="preserve">Historical cost </w:t>
                  </w:r>
                </w:p>
              </w:tc>
              <w:tc>
                <w:tcPr>
                  <w:tcW w:w="412" w:type="pct"/>
                </w:tcPr>
                <w:p w14:paraId="52667303" w14:textId="084A7898" w:rsidR="009150D1" w:rsidRPr="007B2878" w:rsidRDefault="009150D1" w:rsidP="009150D1">
                  <w:pPr>
                    <w:pStyle w:val="TableBodyText"/>
                    <w:ind w:right="28"/>
                    <w:jc w:val="center"/>
                    <w:rPr>
                      <w:szCs w:val="18"/>
                    </w:rPr>
                  </w:pPr>
                  <w:r w:rsidRPr="007B2878">
                    <w:rPr>
                      <w:szCs w:val="18"/>
                    </w:rPr>
                    <w:t>Historical Cost (public housing); Historical Replacement Cost (SOMIH)</w:t>
                  </w:r>
                </w:p>
              </w:tc>
            </w:tr>
            <w:tr w:rsidR="007B2878" w14:paraId="3619E46A" w14:textId="77777777" w:rsidTr="003C793B">
              <w:tc>
                <w:tcPr>
                  <w:tcW w:w="443" w:type="pct"/>
                  <w:shd w:val="clear" w:color="auto" w:fill="auto"/>
                </w:tcPr>
                <w:p w14:paraId="52CA4863" w14:textId="3B507392" w:rsidR="007B2878" w:rsidRDefault="00E30BA4" w:rsidP="007B2878">
                  <w:pPr>
                    <w:pStyle w:val="TableBodyText"/>
                    <w:jc w:val="left"/>
                    <w:rPr>
                      <w:b/>
                    </w:rPr>
                  </w:pPr>
                  <w:r>
                    <w:rPr>
                      <w:b/>
                    </w:rPr>
                    <w:t>R</w:t>
                  </w:r>
                  <w:r w:rsidR="007B2878" w:rsidRPr="00C87D70">
                    <w:rPr>
                      <w:b/>
                    </w:rPr>
                    <w:t>evaluation</w:t>
                  </w:r>
                  <w:r>
                    <w:rPr>
                      <w:b/>
                    </w:rPr>
                    <w:t xml:space="preserve"> frequency</w:t>
                  </w:r>
                </w:p>
                <w:p w14:paraId="146A70DC" w14:textId="2E97A12E" w:rsidR="007B2878" w:rsidRPr="007B2878" w:rsidRDefault="008836F5" w:rsidP="007B2878">
                  <w:pPr>
                    <w:pStyle w:val="TableBodyText"/>
                    <w:jc w:val="left"/>
                    <w:rPr>
                      <w:b/>
                      <w:szCs w:val="18"/>
                    </w:rPr>
                  </w:pPr>
                  <w:r>
                    <w:rPr>
                      <w:szCs w:val="18"/>
                    </w:rPr>
                    <w:t>(</w:t>
                  </w:r>
                  <w:r w:rsidR="007B2878" w:rsidRPr="007B2878">
                    <w:rPr>
                      <w:szCs w:val="18"/>
                    </w:rPr>
                    <w:t>Land, buildings</w:t>
                  </w:r>
                  <w:r>
                    <w:rPr>
                      <w:szCs w:val="18"/>
                    </w:rPr>
                    <w:t>)</w:t>
                  </w:r>
                </w:p>
              </w:tc>
              <w:tc>
                <w:tcPr>
                  <w:tcW w:w="1139" w:type="pct"/>
                </w:tcPr>
                <w:p w14:paraId="52785900" w14:textId="1C7FD542" w:rsidR="007B2878" w:rsidRPr="007B2878" w:rsidRDefault="007B2878" w:rsidP="007B2878">
                  <w:pPr>
                    <w:pStyle w:val="TableBodyText"/>
                    <w:jc w:val="center"/>
                    <w:rPr>
                      <w:szCs w:val="18"/>
                    </w:rPr>
                  </w:pPr>
                  <w:r w:rsidRPr="00A60C60">
                    <w:t>Annual</w:t>
                  </w:r>
                </w:p>
              </w:tc>
              <w:tc>
                <w:tcPr>
                  <w:tcW w:w="599" w:type="pct"/>
                  <w:gridSpan w:val="2"/>
                  <w:shd w:val="clear" w:color="auto" w:fill="auto"/>
                </w:tcPr>
                <w:p w14:paraId="6DFB2DDD" w14:textId="406E29C1" w:rsidR="007B2878" w:rsidRPr="007B2878" w:rsidRDefault="007B2878" w:rsidP="007B2878">
                  <w:pPr>
                    <w:pStyle w:val="TableBodyText"/>
                    <w:jc w:val="center"/>
                    <w:rPr>
                      <w:szCs w:val="18"/>
                    </w:rPr>
                  </w:pPr>
                  <w:r w:rsidRPr="00A60C60">
                    <w:t>5 yearly intervals (interim assessments by indices between intervals)</w:t>
                  </w:r>
                </w:p>
              </w:tc>
              <w:tc>
                <w:tcPr>
                  <w:tcW w:w="463" w:type="pct"/>
                  <w:shd w:val="clear" w:color="auto" w:fill="auto"/>
                </w:tcPr>
                <w:p w14:paraId="581B6175" w14:textId="6BDF31B3" w:rsidR="007B2878" w:rsidRPr="007B2878" w:rsidRDefault="007B2878" w:rsidP="007B2878">
                  <w:pPr>
                    <w:pStyle w:val="TableBodyText"/>
                    <w:ind w:right="28"/>
                    <w:jc w:val="center"/>
                    <w:rPr>
                      <w:szCs w:val="18"/>
                    </w:rPr>
                  </w:pPr>
                  <w:r w:rsidRPr="00A60C60">
                    <w:t>Annual</w:t>
                  </w:r>
                </w:p>
              </w:tc>
              <w:tc>
                <w:tcPr>
                  <w:tcW w:w="531" w:type="pct"/>
                </w:tcPr>
                <w:p w14:paraId="2D76AE2E" w14:textId="66FF8F25" w:rsidR="007B2878" w:rsidRPr="007B2878" w:rsidRDefault="007B2878" w:rsidP="007B2878">
                  <w:pPr>
                    <w:pStyle w:val="TableBodyText"/>
                    <w:ind w:right="28"/>
                    <w:jc w:val="center"/>
                    <w:rPr>
                      <w:szCs w:val="18"/>
                    </w:rPr>
                  </w:pPr>
                  <w:r w:rsidRPr="00A60C60">
                    <w:t>Annual</w:t>
                  </w:r>
                </w:p>
              </w:tc>
              <w:tc>
                <w:tcPr>
                  <w:tcW w:w="532" w:type="pct"/>
                </w:tcPr>
                <w:p w14:paraId="3D04EB09" w14:textId="6CC15CFE" w:rsidR="007B2878" w:rsidRPr="007B2878" w:rsidRDefault="007B2878" w:rsidP="007B2878">
                  <w:pPr>
                    <w:pStyle w:val="TableBodyText"/>
                    <w:ind w:right="28"/>
                    <w:jc w:val="center"/>
                    <w:rPr>
                      <w:szCs w:val="18"/>
                    </w:rPr>
                  </w:pPr>
                  <w:r w:rsidRPr="00A60C60">
                    <w:t>Annual</w:t>
                  </w:r>
                </w:p>
              </w:tc>
              <w:tc>
                <w:tcPr>
                  <w:tcW w:w="532" w:type="pct"/>
                </w:tcPr>
                <w:p w14:paraId="00B98753" w14:textId="5698CACB" w:rsidR="007B2878" w:rsidRPr="007B2878" w:rsidRDefault="007B2878" w:rsidP="007B2878">
                  <w:pPr>
                    <w:pStyle w:val="TableBodyText"/>
                    <w:ind w:right="28"/>
                    <w:jc w:val="center"/>
                    <w:rPr>
                      <w:szCs w:val="18"/>
                    </w:rPr>
                  </w:pPr>
                  <w:r w:rsidRPr="00A60C60">
                    <w:t>Annual</w:t>
                  </w:r>
                </w:p>
              </w:tc>
              <w:tc>
                <w:tcPr>
                  <w:tcW w:w="349" w:type="pct"/>
                </w:tcPr>
                <w:p w14:paraId="68892077" w14:textId="6B176A49" w:rsidR="007B2878" w:rsidRPr="007B2878" w:rsidRDefault="007B2878" w:rsidP="007B2878">
                  <w:pPr>
                    <w:pStyle w:val="TableBodyText"/>
                    <w:ind w:right="28"/>
                    <w:jc w:val="center"/>
                    <w:rPr>
                      <w:szCs w:val="18"/>
                    </w:rPr>
                  </w:pPr>
                  <w:r w:rsidRPr="00A60C60">
                    <w:t>Annual</w:t>
                  </w:r>
                </w:p>
              </w:tc>
              <w:tc>
                <w:tcPr>
                  <w:tcW w:w="412" w:type="pct"/>
                </w:tcPr>
                <w:p w14:paraId="6FAF609A" w14:textId="737867E3" w:rsidR="007B2878" w:rsidRPr="007B2878" w:rsidRDefault="007B2878" w:rsidP="007B2878">
                  <w:pPr>
                    <w:pStyle w:val="TableBodyText"/>
                    <w:ind w:right="28"/>
                    <w:jc w:val="center"/>
                    <w:rPr>
                      <w:szCs w:val="18"/>
                    </w:rPr>
                  </w:pPr>
                  <w:r w:rsidRPr="00A60C60">
                    <w:t>Annual</w:t>
                  </w:r>
                </w:p>
              </w:tc>
            </w:tr>
            <w:tr w:rsidR="007B2878" w14:paraId="12B4F598" w14:textId="77777777" w:rsidTr="003C793B">
              <w:tc>
                <w:tcPr>
                  <w:tcW w:w="443" w:type="pct"/>
                  <w:tcBorders>
                    <w:bottom w:val="single" w:sz="6" w:space="0" w:color="BFBFBF" w:themeColor="background1" w:themeShade="BF"/>
                  </w:tcBorders>
                  <w:shd w:val="clear" w:color="auto" w:fill="auto"/>
                </w:tcPr>
                <w:p w14:paraId="1A5C82B6" w14:textId="77777777" w:rsidR="00EA2D45" w:rsidRPr="00AF211D" w:rsidRDefault="00EA2D45" w:rsidP="00E30BA4">
                  <w:pPr>
                    <w:pStyle w:val="TableBodyText"/>
                    <w:jc w:val="left"/>
                  </w:pPr>
                </w:p>
              </w:tc>
              <w:tc>
                <w:tcPr>
                  <w:tcW w:w="1139" w:type="pct"/>
                  <w:tcBorders>
                    <w:bottom w:val="single" w:sz="6" w:space="0" w:color="BFBFBF" w:themeColor="background1" w:themeShade="BF"/>
                  </w:tcBorders>
                </w:tcPr>
                <w:p w14:paraId="6A0F4F8A" w14:textId="55CAC3FC" w:rsidR="00EA2D45" w:rsidRPr="00062A07" w:rsidRDefault="00EA2D45" w:rsidP="00E30BA4">
                  <w:pPr>
                    <w:pStyle w:val="TableBodyText"/>
                    <w:jc w:val="center"/>
                    <w:rPr>
                      <w:b/>
                    </w:rPr>
                  </w:pPr>
                </w:p>
              </w:tc>
              <w:tc>
                <w:tcPr>
                  <w:tcW w:w="531" w:type="pct"/>
                  <w:tcBorders>
                    <w:bottom w:val="single" w:sz="6" w:space="0" w:color="BFBFBF" w:themeColor="background1" w:themeShade="BF"/>
                  </w:tcBorders>
                  <w:shd w:val="clear" w:color="auto" w:fill="auto"/>
                </w:tcPr>
                <w:p w14:paraId="686B4FA6" w14:textId="77777777" w:rsidR="00EA2D45" w:rsidRPr="00E61F69" w:rsidRDefault="00EA2D45" w:rsidP="00E30BA4">
                  <w:pPr>
                    <w:pStyle w:val="TableBodyText"/>
                    <w:jc w:val="center"/>
                  </w:pPr>
                </w:p>
              </w:tc>
              <w:tc>
                <w:tcPr>
                  <w:tcW w:w="531" w:type="pct"/>
                  <w:gridSpan w:val="2"/>
                  <w:tcBorders>
                    <w:bottom w:val="single" w:sz="6" w:space="0" w:color="BFBFBF" w:themeColor="background1" w:themeShade="BF"/>
                  </w:tcBorders>
                  <w:shd w:val="clear" w:color="auto" w:fill="auto"/>
                </w:tcPr>
                <w:p w14:paraId="77DB906F" w14:textId="77777777" w:rsidR="00EA2D45" w:rsidRPr="00E61F69" w:rsidRDefault="00EA2D45" w:rsidP="00E30BA4">
                  <w:pPr>
                    <w:pStyle w:val="TableBodyText"/>
                    <w:ind w:right="28"/>
                    <w:jc w:val="center"/>
                  </w:pPr>
                </w:p>
              </w:tc>
              <w:tc>
                <w:tcPr>
                  <w:tcW w:w="531" w:type="pct"/>
                  <w:tcBorders>
                    <w:bottom w:val="single" w:sz="6" w:space="0" w:color="BFBFBF" w:themeColor="background1" w:themeShade="BF"/>
                  </w:tcBorders>
                </w:tcPr>
                <w:p w14:paraId="3D40D934" w14:textId="77777777" w:rsidR="00EA2D45" w:rsidRPr="00E61F69" w:rsidRDefault="00EA2D45" w:rsidP="00E30BA4">
                  <w:pPr>
                    <w:pStyle w:val="TableBodyText"/>
                    <w:ind w:right="28"/>
                    <w:jc w:val="center"/>
                  </w:pPr>
                </w:p>
              </w:tc>
              <w:tc>
                <w:tcPr>
                  <w:tcW w:w="532" w:type="pct"/>
                  <w:tcBorders>
                    <w:bottom w:val="single" w:sz="6" w:space="0" w:color="BFBFBF" w:themeColor="background1" w:themeShade="BF"/>
                  </w:tcBorders>
                </w:tcPr>
                <w:p w14:paraId="7BD96280" w14:textId="77777777" w:rsidR="00EA2D45" w:rsidRPr="00E61F69" w:rsidRDefault="00EA2D45" w:rsidP="00E30BA4">
                  <w:pPr>
                    <w:pStyle w:val="TableBodyText"/>
                    <w:ind w:right="28"/>
                    <w:jc w:val="center"/>
                  </w:pPr>
                </w:p>
              </w:tc>
              <w:tc>
                <w:tcPr>
                  <w:tcW w:w="1293" w:type="pct"/>
                  <w:gridSpan w:val="3"/>
                  <w:tcBorders>
                    <w:bottom w:val="single" w:sz="6" w:space="0" w:color="BFBFBF" w:themeColor="background1" w:themeShade="BF"/>
                  </w:tcBorders>
                </w:tcPr>
                <w:p w14:paraId="5DA4B4B2" w14:textId="77777777" w:rsidR="00EA2D45" w:rsidRPr="00E61F69" w:rsidRDefault="00EA2D45" w:rsidP="00E30BA4">
                  <w:pPr>
                    <w:pStyle w:val="TableBodyText"/>
                    <w:spacing w:before="80"/>
                    <w:ind w:right="28"/>
                  </w:pPr>
                  <w:r w:rsidRPr="00C52B8F">
                    <w:rPr>
                      <w:szCs w:val="18"/>
                    </w:rPr>
                    <w:t>(continued next page)</w:t>
                  </w:r>
                </w:p>
              </w:tc>
            </w:tr>
          </w:tbl>
          <w:p w14:paraId="433E9565" w14:textId="77777777" w:rsidR="00EA2D45" w:rsidRPr="00C52B8F" w:rsidRDefault="00EA2D45" w:rsidP="00E30BA4">
            <w:pPr>
              <w:pStyle w:val="Box"/>
              <w:jc w:val="right"/>
              <w:rPr>
                <w:sz w:val="18"/>
                <w:szCs w:val="18"/>
              </w:rPr>
            </w:pPr>
          </w:p>
        </w:tc>
      </w:tr>
      <w:tr w:rsidR="00EA2D45" w14:paraId="0ADC7896" w14:textId="77777777" w:rsidTr="00E30BA4">
        <w:tc>
          <w:tcPr>
            <w:tcW w:w="5000" w:type="pct"/>
            <w:tcBorders>
              <w:bottom w:val="single" w:sz="4" w:space="0" w:color="78A22F"/>
            </w:tcBorders>
            <w:shd w:val="clear" w:color="auto" w:fill="auto"/>
          </w:tcPr>
          <w:p w14:paraId="2DFE2BA1" w14:textId="77777777" w:rsidR="00EA2D45" w:rsidRDefault="00EA2D45" w:rsidP="00E30BA4">
            <w:pPr>
              <w:pStyle w:val="Box"/>
              <w:spacing w:before="0" w:line="120" w:lineRule="exact"/>
            </w:pPr>
          </w:p>
        </w:tc>
      </w:tr>
      <w:tr w:rsidR="00EA2D45" w:rsidRPr="000863A5" w14:paraId="05B5319C" w14:textId="77777777" w:rsidTr="00E30BA4">
        <w:tc>
          <w:tcPr>
            <w:tcW w:w="5000" w:type="pct"/>
            <w:tcBorders>
              <w:top w:val="single" w:sz="4" w:space="0" w:color="78A22F"/>
            </w:tcBorders>
            <w:shd w:val="clear" w:color="auto" w:fill="auto"/>
          </w:tcPr>
          <w:p w14:paraId="470AD5B4" w14:textId="1D8B0451" w:rsidR="00EA2D45" w:rsidRPr="00626D32" w:rsidRDefault="00EA2D45" w:rsidP="00E30BA4">
            <w:pPr>
              <w:pStyle w:val="BoxSpaceBelow"/>
            </w:pPr>
          </w:p>
        </w:tc>
      </w:tr>
    </w:tbl>
    <w:p w14:paraId="49C7A076" w14:textId="79314FB2" w:rsidR="00E30BA4" w:rsidRDefault="00E30BA4" w:rsidP="00E30BA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E30BA4" w14:paraId="77C5BFEC" w14:textId="77777777" w:rsidTr="00E30BA4">
        <w:trPr>
          <w:tblHeader/>
        </w:trPr>
        <w:tc>
          <w:tcPr>
            <w:tcW w:w="5000" w:type="pct"/>
            <w:tcBorders>
              <w:top w:val="single" w:sz="6" w:space="0" w:color="78A22F"/>
              <w:left w:val="nil"/>
              <w:bottom w:val="nil"/>
              <w:right w:val="nil"/>
            </w:tcBorders>
            <w:shd w:val="clear" w:color="auto" w:fill="auto"/>
          </w:tcPr>
          <w:p w14:paraId="2BE47E15" w14:textId="6868A07B" w:rsidR="00E30BA4" w:rsidRPr="008836F5" w:rsidRDefault="00E30BA4" w:rsidP="00FD437C">
            <w:pPr>
              <w:pStyle w:val="TableTitle"/>
              <w:rPr>
                <w:b w:val="0"/>
                <w:sz w:val="18"/>
                <w:szCs w:val="18"/>
              </w:rPr>
            </w:pPr>
            <w:r>
              <w:rPr>
                <w:b w:val="0"/>
              </w:rPr>
              <w:t>Table</w:t>
            </w:r>
            <w:r w:rsidR="00FD437C">
              <w:rPr>
                <w:b w:val="0"/>
              </w:rPr>
              <w:t xml:space="preserve"> 18.4</w:t>
            </w:r>
            <w:r>
              <w:tab/>
            </w:r>
            <w:r>
              <w:rPr>
                <w:b w:val="0"/>
                <w:sz w:val="18"/>
                <w:szCs w:val="18"/>
              </w:rPr>
              <w:t>(continued)</w:t>
            </w:r>
          </w:p>
        </w:tc>
      </w:tr>
      <w:tr w:rsidR="00E30BA4" w14:paraId="2AE5540F" w14:textId="77777777" w:rsidTr="00E30BA4">
        <w:tc>
          <w:tcPr>
            <w:tcW w:w="5000" w:type="pct"/>
            <w:tcBorders>
              <w:top w:val="nil"/>
              <w:left w:val="nil"/>
              <w:bottom w:val="nil"/>
              <w:right w:val="nil"/>
            </w:tcBorders>
            <w:shd w:val="clear" w:color="auto" w:fill="auto"/>
          </w:tcPr>
          <w:tbl>
            <w:tblPr>
              <w:tblW w:w="13345" w:type="dxa"/>
              <w:tblCellMar>
                <w:top w:w="28" w:type="dxa"/>
                <w:left w:w="0" w:type="dxa"/>
                <w:right w:w="0" w:type="dxa"/>
              </w:tblCellMar>
              <w:tblLook w:val="0000" w:firstRow="0" w:lastRow="0" w:firstColumn="0" w:lastColumn="0" w:noHBand="0" w:noVBand="0"/>
            </w:tblPr>
            <w:tblGrid>
              <w:gridCol w:w="1352"/>
              <w:gridCol w:w="56"/>
              <w:gridCol w:w="1142"/>
              <w:gridCol w:w="1703"/>
              <w:gridCol w:w="1599"/>
              <w:gridCol w:w="243"/>
              <w:gridCol w:w="1038"/>
              <w:gridCol w:w="211"/>
              <w:gridCol w:w="8"/>
              <w:gridCol w:w="32"/>
              <w:gridCol w:w="1038"/>
              <w:gridCol w:w="419"/>
              <w:gridCol w:w="11"/>
              <w:gridCol w:w="27"/>
              <w:gridCol w:w="833"/>
              <w:gridCol w:w="638"/>
              <w:gridCol w:w="19"/>
              <w:gridCol w:w="627"/>
              <w:gridCol w:w="849"/>
              <w:gridCol w:w="11"/>
              <w:gridCol w:w="8"/>
              <w:gridCol w:w="419"/>
              <w:gridCol w:w="1046"/>
              <w:gridCol w:w="16"/>
            </w:tblGrid>
            <w:tr w:rsidR="00604C4B" w14:paraId="6C26B1C3" w14:textId="77777777" w:rsidTr="0041145C">
              <w:trPr>
                <w:trHeight w:val="278"/>
              </w:trPr>
              <w:tc>
                <w:tcPr>
                  <w:tcW w:w="528" w:type="pct"/>
                  <w:gridSpan w:val="2"/>
                  <w:tcBorders>
                    <w:top w:val="single" w:sz="6" w:space="0" w:color="BFBFBF" w:themeColor="background1" w:themeShade="BF"/>
                    <w:bottom w:val="single" w:sz="6" w:space="0" w:color="BFBFBF" w:themeColor="background1" w:themeShade="BF"/>
                  </w:tcBorders>
                  <w:shd w:val="clear" w:color="auto" w:fill="auto"/>
                </w:tcPr>
                <w:p w14:paraId="63FA1AD9" w14:textId="77777777" w:rsidR="00604C4B" w:rsidRPr="0041145C" w:rsidRDefault="00604C4B" w:rsidP="00E30BA4">
                  <w:pPr>
                    <w:pStyle w:val="TableBodyText"/>
                    <w:jc w:val="left"/>
                    <w:rPr>
                      <w:b/>
                      <w:i/>
                    </w:rPr>
                  </w:pPr>
                </w:p>
              </w:tc>
              <w:tc>
                <w:tcPr>
                  <w:tcW w:w="428" w:type="pct"/>
                  <w:tcBorders>
                    <w:top w:val="single" w:sz="6" w:space="0" w:color="BFBFBF" w:themeColor="background1" w:themeShade="BF"/>
                    <w:bottom w:val="single" w:sz="6" w:space="0" w:color="BFBFBF" w:themeColor="background1" w:themeShade="BF"/>
                  </w:tcBorders>
                  <w:shd w:val="clear" w:color="auto" w:fill="auto"/>
                </w:tcPr>
                <w:p w14:paraId="5ACB9C40" w14:textId="6DC0F502" w:rsidR="00604C4B" w:rsidRPr="0041145C" w:rsidRDefault="00604C4B" w:rsidP="0041145C">
                  <w:pPr>
                    <w:pStyle w:val="TableBodyText"/>
                    <w:spacing w:before="80" w:after="80"/>
                    <w:jc w:val="left"/>
                    <w:rPr>
                      <w:i/>
                    </w:rPr>
                  </w:pPr>
                  <w:r w:rsidRPr="0041145C">
                    <w:rPr>
                      <w:i/>
                    </w:rPr>
                    <w:t>NSW</w:t>
                  </w:r>
                </w:p>
              </w:tc>
              <w:tc>
                <w:tcPr>
                  <w:tcW w:w="638" w:type="pct"/>
                  <w:tcBorders>
                    <w:top w:val="single" w:sz="6" w:space="0" w:color="BFBFBF" w:themeColor="background1" w:themeShade="BF"/>
                    <w:bottom w:val="single" w:sz="6" w:space="0" w:color="BFBFBF" w:themeColor="background1" w:themeShade="BF"/>
                  </w:tcBorders>
                  <w:shd w:val="clear" w:color="auto" w:fill="auto"/>
                </w:tcPr>
                <w:p w14:paraId="120FC83A" w14:textId="2A389A68" w:rsidR="00604C4B" w:rsidRPr="0041145C" w:rsidRDefault="00604C4B" w:rsidP="006F0AF7">
                  <w:pPr>
                    <w:pStyle w:val="TableBodyText"/>
                    <w:jc w:val="left"/>
                    <w:rPr>
                      <w:b/>
                      <w:i/>
                    </w:rPr>
                  </w:pPr>
                  <w:r w:rsidRPr="0041145C">
                    <w:rPr>
                      <w:i/>
                    </w:rPr>
                    <w:t>Vic</w:t>
                  </w:r>
                  <w:r w:rsidR="006F0AF7">
                    <w:rPr>
                      <w:rStyle w:val="NoteLabel"/>
                    </w:rPr>
                    <w:t>c</w:t>
                  </w:r>
                </w:p>
              </w:tc>
              <w:tc>
                <w:tcPr>
                  <w:tcW w:w="690" w:type="pct"/>
                  <w:gridSpan w:val="2"/>
                  <w:tcBorders>
                    <w:top w:val="single" w:sz="6" w:space="0" w:color="BFBFBF" w:themeColor="background1" w:themeShade="BF"/>
                    <w:bottom w:val="single" w:sz="6" w:space="0" w:color="BFBFBF" w:themeColor="background1" w:themeShade="BF"/>
                  </w:tcBorders>
                  <w:shd w:val="clear" w:color="auto" w:fill="auto"/>
                </w:tcPr>
                <w:p w14:paraId="02811817" w14:textId="7378DE3A" w:rsidR="00604C4B" w:rsidRPr="0041145C" w:rsidRDefault="00604C4B" w:rsidP="006F0AF7">
                  <w:pPr>
                    <w:pStyle w:val="TableBodyText"/>
                    <w:rPr>
                      <w:i/>
                    </w:rPr>
                  </w:pPr>
                  <w:r w:rsidRPr="0041145C">
                    <w:rPr>
                      <w:i/>
                    </w:rPr>
                    <w:t>Qld</w:t>
                  </w:r>
                  <w:r w:rsidR="006F0AF7">
                    <w:rPr>
                      <w:rStyle w:val="NoteLabel"/>
                    </w:rPr>
                    <w:t>d</w:t>
                  </w:r>
                </w:p>
              </w:tc>
              <w:tc>
                <w:tcPr>
                  <w:tcW w:w="483" w:type="pct"/>
                  <w:gridSpan w:val="4"/>
                  <w:tcBorders>
                    <w:top w:val="single" w:sz="6" w:space="0" w:color="BFBFBF" w:themeColor="background1" w:themeShade="BF"/>
                    <w:bottom w:val="single" w:sz="6" w:space="0" w:color="BFBFBF" w:themeColor="background1" w:themeShade="BF"/>
                  </w:tcBorders>
                  <w:shd w:val="clear" w:color="auto" w:fill="auto"/>
                </w:tcPr>
                <w:p w14:paraId="2D85D49E" w14:textId="37FD4B64" w:rsidR="00604C4B" w:rsidRPr="0041145C" w:rsidRDefault="00604C4B" w:rsidP="00E30BA4">
                  <w:pPr>
                    <w:pStyle w:val="TableBodyText"/>
                    <w:ind w:right="28"/>
                    <w:rPr>
                      <w:i/>
                    </w:rPr>
                  </w:pPr>
                  <w:r w:rsidRPr="0041145C">
                    <w:rPr>
                      <w:i/>
                    </w:rPr>
                    <w:t>WA</w:t>
                  </w:r>
                </w:p>
              </w:tc>
              <w:tc>
                <w:tcPr>
                  <w:tcW w:w="560" w:type="pct"/>
                  <w:gridSpan w:val="4"/>
                  <w:tcBorders>
                    <w:top w:val="single" w:sz="6" w:space="0" w:color="BFBFBF" w:themeColor="background1" w:themeShade="BF"/>
                    <w:bottom w:val="single" w:sz="6" w:space="0" w:color="BFBFBF" w:themeColor="background1" w:themeShade="BF"/>
                  </w:tcBorders>
                </w:tcPr>
                <w:p w14:paraId="023A75F7" w14:textId="1262162D" w:rsidR="00604C4B" w:rsidRPr="0041145C" w:rsidRDefault="00604C4B" w:rsidP="00E30BA4">
                  <w:pPr>
                    <w:pStyle w:val="TableBodyText"/>
                    <w:ind w:right="28"/>
                    <w:rPr>
                      <w:i/>
                    </w:rPr>
                  </w:pPr>
                  <w:r w:rsidRPr="0041145C">
                    <w:rPr>
                      <w:i/>
                    </w:rPr>
                    <w:t>SA</w:t>
                  </w:r>
                </w:p>
              </w:tc>
              <w:tc>
                <w:tcPr>
                  <w:tcW w:w="558" w:type="pct"/>
                  <w:gridSpan w:val="3"/>
                  <w:tcBorders>
                    <w:top w:val="single" w:sz="6" w:space="0" w:color="BFBFBF" w:themeColor="background1" w:themeShade="BF"/>
                    <w:bottom w:val="single" w:sz="6" w:space="0" w:color="BFBFBF" w:themeColor="background1" w:themeShade="BF"/>
                  </w:tcBorders>
                </w:tcPr>
                <w:p w14:paraId="17CC3091" w14:textId="616A0751" w:rsidR="00604C4B" w:rsidRPr="0041145C" w:rsidRDefault="00604C4B" w:rsidP="00E30BA4">
                  <w:pPr>
                    <w:pStyle w:val="TableBodyText"/>
                    <w:ind w:right="28"/>
                    <w:rPr>
                      <w:i/>
                    </w:rPr>
                  </w:pPr>
                  <w:r w:rsidRPr="0041145C">
                    <w:rPr>
                      <w:i/>
                    </w:rPr>
                    <w:t>Tas</w:t>
                  </w:r>
                </w:p>
              </w:tc>
              <w:tc>
                <w:tcPr>
                  <w:tcW w:w="557" w:type="pct"/>
                  <w:gridSpan w:val="3"/>
                  <w:tcBorders>
                    <w:top w:val="single" w:sz="6" w:space="0" w:color="BFBFBF" w:themeColor="background1" w:themeShade="BF"/>
                    <w:bottom w:val="single" w:sz="6" w:space="0" w:color="BFBFBF" w:themeColor="background1" w:themeShade="BF"/>
                  </w:tcBorders>
                </w:tcPr>
                <w:p w14:paraId="0F6FE81F" w14:textId="2EBEB850" w:rsidR="00604C4B" w:rsidRPr="0041145C" w:rsidRDefault="00604C4B" w:rsidP="00E30BA4">
                  <w:pPr>
                    <w:pStyle w:val="TableBodyText"/>
                    <w:ind w:right="28"/>
                    <w:rPr>
                      <w:i/>
                    </w:rPr>
                  </w:pPr>
                  <w:r w:rsidRPr="0041145C">
                    <w:rPr>
                      <w:i/>
                    </w:rPr>
                    <w:t>ACT</w:t>
                  </w:r>
                </w:p>
              </w:tc>
              <w:tc>
                <w:tcPr>
                  <w:tcW w:w="558" w:type="pct"/>
                  <w:gridSpan w:val="4"/>
                  <w:tcBorders>
                    <w:top w:val="single" w:sz="6" w:space="0" w:color="BFBFBF" w:themeColor="background1" w:themeShade="BF"/>
                    <w:bottom w:val="single" w:sz="6" w:space="0" w:color="BFBFBF" w:themeColor="background1" w:themeShade="BF"/>
                  </w:tcBorders>
                </w:tcPr>
                <w:p w14:paraId="5328B5A4" w14:textId="5CC3C751" w:rsidR="00604C4B" w:rsidRPr="0041145C" w:rsidRDefault="00604C4B" w:rsidP="006F0AF7">
                  <w:pPr>
                    <w:pStyle w:val="TableBodyText"/>
                    <w:ind w:right="28"/>
                    <w:rPr>
                      <w:i/>
                    </w:rPr>
                  </w:pPr>
                  <w:r w:rsidRPr="0041145C">
                    <w:rPr>
                      <w:i/>
                    </w:rPr>
                    <w:t>NT</w:t>
                  </w:r>
                  <w:r w:rsidR="006F0AF7">
                    <w:rPr>
                      <w:rStyle w:val="NoteLabel"/>
                    </w:rPr>
                    <w:t>e</w:t>
                  </w:r>
                  <w:r w:rsidR="000A2664" w:rsidRPr="0041145C">
                    <w:rPr>
                      <w:i/>
                    </w:rPr>
                    <w:t xml:space="preserve"> </w:t>
                  </w:r>
                </w:p>
              </w:tc>
            </w:tr>
            <w:tr w:rsidR="000A2664" w14:paraId="04BE8CF6" w14:textId="77777777" w:rsidTr="0041145C">
              <w:trPr>
                <w:trHeight w:val="278"/>
              </w:trPr>
              <w:tc>
                <w:tcPr>
                  <w:tcW w:w="1593" w:type="pct"/>
                  <w:gridSpan w:val="4"/>
                  <w:tcBorders>
                    <w:top w:val="single" w:sz="6" w:space="0" w:color="BFBFBF" w:themeColor="background1" w:themeShade="BF"/>
                  </w:tcBorders>
                  <w:shd w:val="clear" w:color="auto" w:fill="auto"/>
                </w:tcPr>
                <w:p w14:paraId="3A0B2BAF" w14:textId="32851B34" w:rsidR="00604C4B" w:rsidRDefault="00604C4B" w:rsidP="00E30BA4">
                  <w:pPr>
                    <w:pStyle w:val="TableBodyText"/>
                    <w:jc w:val="left"/>
                  </w:pPr>
                  <w:r>
                    <w:rPr>
                      <w:b/>
                    </w:rPr>
                    <w:t>Useful asset lives</w:t>
                  </w:r>
                  <w:r>
                    <w:tab/>
                  </w:r>
                </w:p>
              </w:tc>
              <w:tc>
                <w:tcPr>
                  <w:tcW w:w="690" w:type="pct"/>
                  <w:gridSpan w:val="2"/>
                  <w:tcBorders>
                    <w:top w:val="single" w:sz="6" w:space="0" w:color="BFBFBF" w:themeColor="background1" w:themeShade="BF"/>
                  </w:tcBorders>
                  <w:shd w:val="clear" w:color="auto" w:fill="auto"/>
                </w:tcPr>
                <w:p w14:paraId="5997AE71" w14:textId="4A5A9DB7" w:rsidR="00604C4B" w:rsidRDefault="00604C4B" w:rsidP="00E30BA4">
                  <w:pPr>
                    <w:pStyle w:val="TableBodyText"/>
                  </w:pPr>
                </w:p>
              </w:tc>
              <w:tc>
                <w:tcPr>
                  <w:tcW w:w="483" w:type="pct"/>
                  <w:gridSpan w:val="4"/>
                  <w:tcBorders>
                    <w:top w:val="single" w:sz="6" w:space="0" w:color="BFBFBF" w:themeColor="background1" w:themeShade="BF"/>
                  </w:tcBorders>
                  <w:shd w:val="clear" w:color="auto" w:fill="auto"/>
                </w:tcPr>
                <w:p w14:paraId="2B0C0509" w14:textId="77777777" w:rsidR="00604C4B" w:rsidRDefault="00604C4B" w:rsidP="00E30BA4">
                  <w:pPr>
                    <w:pStyle w:val="TableBodyText"/>
                    <w:ind w:right="28"/>
                  </w:pPr>
                </w:p>
              </w:tc>
              <w:tc>
                <w:tcPr>
                  <w:tcW w:w="560" w:type="pct"/>
                  <w:gridSpan w:val="4"/>
                  <w:tcBorders>
                    <w:top w:val="single" w:sz="6" w:space="0" w:color="BFBFBF" w:themeColor="background1" w:themeShade="BF"/>
                  </w:tcBorders>
                </w:tcPr>
                <w:p w14:paraId="0729F7E6" w14:textId="77777777" w:rsidR="00604C4B" w:rsidRDefault="00604C4B" w:rsidP="00E30BA4">
                  <w:pPr>
                    <w:pStyle w:val="TableBodyText"/>
                    <w:ind w:right="28"/>
                  </w:pPr>
                </w:p>
              </w:tc>
              <w:tc>
                <w:tcPr>
                  <w:tcW w:w="558" w:type="pct"/>
                  <w:gridSpan w:val="3"/>
                  <w:tcBorders>
                    <w:top w:val="single" w:sz="6" w:space="0" w:color="BFBFBF" w:themeColor="background1" w:themeShade="BF"/>
                  </w:tcBorders>
                </w:tcPr>
                <w:p w14:paraId="7017ECEC" w14:textId="77777777" w:rsidR="00604C4B" w:rsidRDefault="00604C4B" w:rsidP="00E30BA4">
                  <w:pPr>
                    <w:pStyle w:val="TableBodyText"/>
                    <w:ind w:right="28"/>
                  </w:pPr>
                </w:p>
              </w:tc>
              <w:tc>
                <w:tcPr>
                  <w:tcW w:w="560" w:type="pct"/>
                  <w:gridSpan w:val="4"/>
                  <w:tcBorders>
                    <w:top w:val="single" w:sz="6" w:space="0" w:color="BFBFBF" w:themeColor="background1" w:themeShade="BF"/>
                  </w:tcBorders>
                </w:tcPr>
                <w:p w14:paraId="60E906AE" w14:textId="77777777" w:rsidR="00604C4B" w:rsidRDefault="00604C4B" w:rsidP="00E30BA4">
                  <w:pPr>
                    <w:pStyle w:val="TableBodyText"/>
                    <w:ind w:right="28"/>
                  </w:pPr>
                </w:p>
              </w:tc>
              <w:tc>
                <w:tcPr>
                  <w:tcW w:w="555" w:type="pct"/>
                  <w:gridSpan w:val="3"/>
                  <w:tcBorders>
                    <w:top w:val="single" w:sz="6" w:space="0" w:color="BFBFBF" w:themeColor="background1" w:themeShade="BF"/>
                  </w:tcBorders>
                </w:tcPr>
                <w:p w14:paraId="66B21F3E" w14:textId="77777777" w:rsidR="00604C4B" w:rsidRDefault="00604C4B" w:rsidP="00E30BA4">
                  <w:pPr>
                    <w:pStyle w:val="TableBodyText"/>
                    <w:ind w:right="28"/>
                  </w:pPr>
                </w:p>
              </w:tc>
            </w:tr>
            <w:tr w:rsidR="00E30BA4" w14:paraId="49F89192" w14:textId="77777777" w:rsidTr="00557A0F">
              <w:tc>
                <w:tcPr>
                  <w:tcW w:w="507" w:type="pct"/>
                  <w:shd w:val="clear" w:color="auto" w:fill="auto"/>
                </w:tcPr>
                <w:p w14:paraId="1D327636" w14:textId="77777777" w:rsidR="00E30BA4" w:rsidRPr="00D0452B" w:rsidRDefault="00E30BA4" w:rsidP="00E30BA4">
                  <w:pPr>
                    <w:pStyle w:val="TableBodyText"/>
                    <w:jc w:val="left"/>
                  </w:pPr>
                  <w:r w:rsidRPr="00D0452B">
                    <w:t>Residential properties</w:t>
                  </w:r>
                </w:p>
              </w:tc>
              <w:tc>
                <w:tcPr>
                  <w:tcW w:w="449" w:type="pct"/>
                  <w:gridSpan w:val="2"/>
                </w:tcPr>
                <w:p w14:paraId="33EDBBFA" w14:textId="15070508" w:rsidR="00E30BA4" w:rsidRPr="003B0B3A" w:rsidRDefault="00E30BA4" w:rsidP="00E30BA4">
                  <w:pPr>
                    <w:pStyle w:val="TableBodyText"/>
                    <w:jc w:val="left"/>
                  </w:pPr>
                  <w:r w:rsidRPr="003B0B3A">
                    <w:t xml:space="preserve">50 </w:t>
                  </w:r>
                  <w:r w:rsidR="005608CF">
                    <w:t>years</w:t>
                  </w:r>
                </w:p>
              </w:tc>
              <w:tc>
                <w:tcPr>
                  <w:tcW w:w="638" w:type="pct"/>
                  <w:shd w:val="clear" w:color="auto" w:fill="auto"/>
                </w:tcPr>
                <w:p w14:paraId="42512ECD" w14:textId="1B074582" w:rsidR="00E30BA4" w:rsidRPr="00A77700" w:rsidRDefault="00BF3FE0" w:rsidP="00BF3FE0">
                  <w:pPr>
                    <w:pStyle w:val="TableBodyText"/>
                    <w:jc w:val="left"/>
                  </w:pPr>
                  <w:r w:rsidRPr="00BF3FE0">
                    <w:t xml:space="preserve">85 </w:t>
                  </w:r>
                  <w:r w:rsidR="005608CF">
                    <w:t>years</w:t>
                  </w:r>
                  <w:r w:rsidRPr="00BF3FE0">
                    <w:t xml:space="preserve"> (but moveable units is 45 </w:t>
                  </w:r>
                  <w:r w:rsidR="005608CF">
                    <w:t>years</w:t>
                  </w:r>
                  <w:r w:rsidRPr="00BF3FE0">
                    <w:t>)</w:t>
                  </w:r>
                </w:p>
              </w:tc>
              <w:tc>
                <w:tcPr>
                  <w:tcW w:w="690" w:type="pct"/>
                  <w:gridSpan w:val="2"/>
                  <w:shd w:val="clear" w:color="auto" w:fill="auto"/>
                </w:tcPr>
                <w:p w14:paraId="3F7D452A" w14:textId="136423BB" w:rsidR="00E30BA4" w:rsidRPr="00A77700" w:rsidRDefault="00E30BA4" w:rsidP="00E30BA4">
                  <w:pPr>
                    <w:pStyle w:val="TableBodyText"/>
                    <w:jc w:val="left"/>
                  </w:pPr>
                  <w:r w:rsidRPr="00A77700">
                    <w:t xml:space="preserve">50 </w:t>
                  </w:r>
                  <w:r w:rsidR="005608CF">
                    <w:t>years</w:t>
                  </w:r>
                  <w:r w:rsidRPr="00A77700">
                    <w:t xml:space="preserve"> (2 per cent straight line depreciation)</w:t>
                  </w:r>
                </w:p>
              </w:tc>
              <w:tc>
                <w:tcPr>
                  <w:tcW w:w="468" w:type="pct"/>
                  <w:gridSpan w:val="2"/>
                </w:tcPr>
                <w:p w14:paraId="43D33C2B" w14:textId="4F2E980F" w:rsidR="00E30BA4" w:rsidRPr="00A77700" w:rsidRDefault="00E30BA4" w:rsidP="00E30BA4">
                  <w:pPr>
                    <w:pStyle w:val="TableBodyText"/>
                    <w:jc w:val="left"/>
                  </w:pPr>
                  <w:r w:rsidRPr="00A77700">
                    <w:t xml:space="preserve">50 </w:t>
                  </w:r>
                  <w:r w:rsidR="005608CF">
                    <w:t>years</w:t>
                  </w:r>
                </w:p>
              </w:tc>
              <w:tc>
                <w:tcPr>
                  <w:tcW w:w="561" w:type="pct"/>
                  <w:gridSpan w:val="4"/>
                </w:tcPr>
                <w:p w14:paraId="19B80448" w14:textId="60491D90" w:rsidR="00E30BA4" w:rsidRPr="00A77700" w:rsidRDefault="00E30BA4" w:rsidP="00E30BA4">
                  <w:pPr>
                    <w:pStyle w:val="TableBodyText"/>
                    <w:jc w:val="left"/>
                  </w:pPr>
                  <w:r w:rsidRPr="00A77700">
                    <w:t xml:space="preserve">50 </w:t>
                  </w:r>
                  <w:r w:rsidR="005608CF">
                    <w:t>years</w:t>
                  </w:r>
                </w:p>
              </w:tc>
              <w:tc>
                <w:tcPr>
                  <w:tcW w:w="565" w:type="pct"/>
                  <w:gridSpan w:val="4"/>
                </w:tcPr>
                <w:p w14:paraId="4388FCA6" w14:textId="54C13015" w:rsidR="00E30BA4" w:rsidRPr="00A77700" w:rsidRDefault="00E30BA4" w:rsidP="00E30BA4">
                  <w:pPr>
                    <w:pStyle w:val="TableBodyText"/>
                    <w:jc w:val="left"/>
                  </w:pPr>
                  <w:r w:rsidRPr="00A77700">
                    <w:t xml:space="preserve">50 </w:t>
                  </w:r>
                  <w:r w:rsidR="005608CF">
                    <w:t>years</w:t>
                  </w:r>
                </w:p>
              </w:tc>
              <w:tc>
                <w:tcPr>
                  <w:tcW w:w="560" w:type="pct"/>
                  <w:gridSpan w:val="3"/>
                </w:tcPr>
                <w:p w14:paraId="79513282" w14:textId="7E7E24FE" w:rsidR="00E30BA4" w:rsidRPr="00A77700" w:rsidRDefault="00E30BA4" w:rsidP="00E30BA4">
                  <w:pPr>
                    <w:pStyle w:val="TableBodyText"/>
                    <w:jc w:val="left"/>
                  </w:pPr>
                  <w:r w:rsidRPr="00A77700">
                    <w:t xml:space="preserve">up to 80 </w:t>
                  </w:r>
                  <w:r w:rsidR="005608CF">
                    <w:t>years</w:t>
                  </w:r>
                </w:p>
              </w:tc>
              <w:tc>
                <w:tcPr>
                  <w:tcW w:w="562" w:type="pct"/>
                  <w:gridSpan w:val="5"/>
                </w:tcPr>
                <w:p w14:paraId="3B0BACFF" w14:textId="3C53A9B9" w:rsidR="00E30BA4" w:rsidRDefault="00E30BA4" w:rsidP="00E30BA4">
                  <w:pPr>
                    <w:pStyle w:val="TableBodyText"/>
                    <w:jc w:val="left"/>
                  </w:pPr>
                  <w:r w:rsidRPr="00A77700">
                    <w:t xml:space="preserve">50 </w:t>
                  </w:r>
                  <w:r w:rsidR="005608CF">
                    <w:t>years</w:t>
                  </w:r>
                  <w:r w:rsidRPr="00A77700">
                    <w:t xml:space="preserve"> (public housing); 30 </w:t>
                  </w:r>
                  <w:r w:rsidR="005608CF">
                    <w:t>years</w:t>
                  </w:r>
                  <w:r w:rsidRPr="00A77700">
                    <w:t xml:space="preserve"> (SOMIH)</w:t>
                  </w:r>
                </w:p>
              </w:tc>
            </w:tr>
            <w:tr w:rsidR="00E30BA4" w14:paraId="29005B4C" w14:textId="77777777" w:rsidTr="00557A0F">
              <w:tc>
                <w:tcPr>
                  <w:tcW w:w="507" w:type="pct"/>
                  <w:shd w:val="clear" w:color="auto" w:fill="auto"/>
                </w:tcPr>
                <w:p w14:paraId="5FF56D32" w14:textId="77777777" w:rsidR="00E30BA4" w:rsidRPr="00D0452B" w:rsidRDefault="00E30BA4" w:rsidP="00E30BA4">
                  <w:pPr>
                    <w:pStyle w:val="TableBodyText"/>
                    <w:jc w:val="left"/>
                  </w:pPr>
                  <w:r w:rsidRPr="00D0452B">
                    <w:t>Vehicles</w:t>
                  </w:r>
                </w:p>
              </w:tc>
              <w:tc>
                <w:tcPr>
                  <w:tcW w:w="449" w:type="pct"/>
                  <w:gridSpan w:val="2"/>
                </w:tcPr>
                <w:p w14:paraId="656B0B3A" w14:textId="4CB7FFC5" w:rsidR="00E30BA4" w:rsidRPr="003B0B3A" w:rsidRDefault="00E30BA4" w:rsidP="00E30BA4">
                  <w:pPr>
                    <w:pStyle w:val="TableBodyText"/>
                    <w:jc w:val="left"/>
                  </w:pPr>
                  <w:r w:rsidRPr="003B0B3A">
                    <w:t xml:space="preserve">3 </w:t>
                  </w:r>
                  <w:r w:rsidR="005608CF">
                    <w:t>years</w:t>
                  </w:r>
                </w:p>
              </w:tc>
              <w:tc>
                <w:tcPr>
                  <w:tcW w:w="638" w:type="pct"/>
                  <w:shd w:val="clear" w:color="auto" w:fill="auto"/>
                </w:tcPr>
                <w:p w14:paraId="569A97C5" w14:textId="47980C62" w:rsidR="00E30BA4" w:rsidRPr="00014C4B" w:rsidRDefault="00E30BA4" w:rsidP="00E30BA4">
                  <w:pPr>
                    <w:pStyle w:val="TableBodyText"/>
                    <w:jc w:val="left"/>
                  </w:pPr>
                  <w:r w:rsidRPr="00014C4B">
                    <w:t xml:space="preserve">5–10 </w:t>
                  </w:r>
                  <w:r w:rsidR="005608CF">
                    <w:t>years</w:t>
                  </w:r>
                </w:p>
              </w:tc>
              <w:tc>
                <w:tcPr>
                  <w:tcW w:w="690" w:type="pct"/>
                  <w:gridSpan w:val="2"/>
                  <w:shd w:val="clear" w:color="auto" w:fill="auto"/>
                </w:tcPr>
                <w:p w14:paraId="03BD4965" w14:textId="46FADD2F" w:rsidR="00E30BA4" w:rsidRPr="00014C4B" w:rsidRDefault="00762FC6" w:rsidP="00AC671A">
                  <w:pPr>
                    <w:pStyle w:val="TableBodyText"/>
                    <w:jc w:val="left"/>
                  </w:pPr>
                  <w:r w:rsidRPr="004C48F1">
                    <w:t>..</w:t>
                  </w:r>
                </w:p>
              </w:tc>
              <w:tc>
                <w:tcPr>
                  <w:tcW w:w="468" w:type="pct"/>
                  <w:gridSpan w:val="2"/>
                </w:tcPr>
                <w:p w14:paraId="0FB55F97" w14:textId="77777777" w:rsidR="00E30BA4" w:rsidRPr="00014C4B" w:rsidRDefault="00E30BA4" w:rsidP="00E30BA4">
                  <w:pPr>
                    <w:pStyle w:val="TableBodyText"/>
                    <w:jc w:val="left"/>
                  </w:pPr>
                  <w:r w:rsidRPr="00014C4B">
                    <w:t>6 years and 8 months</w:t>
                  </w:r>
                </w:p>
              </w:tc>
              <w:tc>
                <w:tcPr>
                  <w:tcW w:w="561" w:type="pct"/>
                  <w:gridSpan w:val="4"/>
                </w:tcPr>
                <w:p w14:paraId="3C20EAAA" w14:textId="77777777" w:rsidR="00E30BA4" w:rsidRPr="00014C4B" w:rsidRDefault="00E30BA4" w:rsidP="00E30BA4">
                  <w:pPr>
                    <w:pStyle w:val="TableBodyText"/>
                    <w:jc w:val="left"/>
                  </w:pPr>
                  <w:r w:rsidRPr="00014C4B">
                    <w:t>..</w:t>
                  </w:r>
                </w:p>
              </w:tc>
              <w:tc>
                <w:tcPr>
                  <w:tcW w:w="565" w:type="pct"/>
                  <w:gridSpan w:val="4"/>
                </w:tcPr>
                <w:p w14:paraId="55D7482F" w14:textId="77777777" w:rsidR="00E30BA4" w:rsidRPr="00014C4B" w:rsidRDefault="00E30BA4" w:rsidP="00E30BA4">
                  <w:pPr>
                    <w:pStyle w:val="TableBodyText"/>
                    <w:jc w:val="left"/>
                  </w:pPr>
                  <w:r w:rsidRPr="00014C4B">
                    <w:t>5 years</w:t>
                  </w:r>
                </w:p>
              </w:tc>
              <w:tc>
                <w:tcPr>
                  <w:tcW w:w="560" w:type="pct"/>
                  <w:gridSpan w:val="3"/>
                </w:tcPr>
                <w:p w14:paraId="3EF91767" w14:textId="77777777" w:rsidR="00E30BA4" w:rsidRPr="00014C4B" w:rsidRDefault="00E30BA4" w:rsidP="00E30BA4">
                  <w:pPr>
                    <w:pStyle w:val="TableBodyText"/>
                    <w:jc w:val="left"/>
                  </w:pPr>
                  <w:r w:rsidRPr="00014C4B">
                    <w:t>..</w:t>
                  </w:r>
                </w:p>
              </w:tc>
              <w:tc>
                <w:tcPr>
                  <w:tcW w:w="562" w:type="pct"/>
                  <w:gridSpan w:val="5"/>
                </w:tcPr>
                <w:p w14:paraId="7503AC92" w14:textId="77777777" w:rsidR="00E30BA4" w:rsidRDefault="00E30BA4" w:rsidP="00E30BA4">
                  <w:pPr>
                    <w:pStyle w:val="TableBodyText"/>
                    <w:jc w:val="left"/>
                  </w:pPr>
                  <w:r w:rsidRPr="00014C4B">
                    <w:t>2 years</w:t>
                  </w:r>
                </w:p>
              </w:tc>
            </w:tr>
            <w:tr w:rsidR="00762FC6" w14:paraId="5DC02595" w14:textId="77777777" w:rsidTr="00557A0F">
              <w:tc>
                <w:tcPr>
                  <w:tcW w:w="507" w:type="pct"/>
                  <w:shd w:val="clear" w:color="auto" w:fill="auto"/>
                </w:tcPr>
                <w:p w14:paraId="0DBB28A3" w14:textId="77777777" w:rsidR="00762FC6" w:rsidRDefault="00762FC6" w:rsidP="00762FC6">
                  <w:pPr>
                    <w:pStyle w:val="TableBodyText"/>
                    <w:jc w:val="left"/>
                  </w:pPr>
                  <w:r w:rsidRPr="00D0452B">
                    <w:t>Office equip.</w:t>
                  </w:r>
                </w:p>
              </w:tc>
              <w:tc>
                <w:tcPr>
                  <w:tcW w:w="449" w:type="pct"/>
                  <w:gridSpan w:val="2"/>
                </w:tcPr>
                <w:p w14:paraId="6012A744" w14:textId="09DE66A1" w:rsidR="00762FC6" w:rsidRPr="003B0B3A" w:rsidRDefault="00762FC6" w:rsidP="00762FC6">
                  <w:pPr>
                    <w:pStyle w:val="TableBodyText"/>
                    <w:jc w:val="left"/>
                  </w:pPr>
                  <w:r w:rsidRPr="003B0B3A">
                    <w:t xml:space="preserve">3 </w:t>
                  </w:r>
                  <w:r>
                    <w:t>years</w:t>
                  </w:r>
                </w:p>
              </w:tc>
              <w:tc>
                <w:tcPr>
                  <w:tcW w:w="638" w:type="pct"/>
                  <w:shd w:val="clear" w:color="auto" w:fill="auto"/>
                </w:tcPr>
                <w:p w14:paraId="46A7C26E" w14:textId="2E38D518" w:rsidR="00762FC6" w:rsidRPr="00331FCB" w:rsidRDefault="00762FC6" w:rsidP="00762FC6">
                  <w:pPr>
                    <w:pStyle w:val="TableBodyText"/>
                    <w:jc w:val="left"/>
                  </w:pPr>
                  <w:r w:rsidRPr="00331FCB">
                    <w:t xml:space="preserve">3–5 </w:t>
                  </w:r>
                  <w:r>
                    <w:t>years</w:t>
                  </w:r>
                </w:p>
              </w:tc>
              <w:tc>
                <w:tcPr>
                  <w:tcW w:w="690" w:type="pct"/>
                  <w:gridSpan w:val="2"/>
                  <w:shd w:val="clear" w:color="auto" w:fill="auto"/>
                </w:tcPr>
                <w:p w14:paraId="2CDAD0ED" w14:textId="11AC77DD" w:rsidR="00762FC6" w:rsidRPr="00331FCB" w:rsidRDefault="00762FC6" w:rsidP="00762FC6">
                  <w:pPr>
                    <w:pStyle w:val="TableBodyText"/>
                    <w:jc w:val="left"/>
                  </w:pPr>
                  <w:r w:rsidRPr="004C48F1">
                    <w:t>2 to 15 years (7 to 46 per cent straight line depreciation)</w:t>
                  </w:r>
                </w:p>
              </w:tc>
              <w:tc>
                <w:tcPr>
                  <w:tcW w:w="468" w:type="pct"/>
                  <w:gridSpan w:val="2"/>
                </w:tcPr>
                <w:p w14:paraId="618DDB34" w14:textId="77777777" w:rsidR="00762FC6" w:rsidRPr="00331FCB" w:rsidRDefault="00762FC6" w:rsidP="00762FC6">
                  <w:pPr>
                    <w:pStyle w:val="TableBodyText"/>
                    <w:jc w:val="left"/>
                  </w:pPr>
                  <w:r w:rsidRPr="00331FCB">
                    <w:t>5 years</w:t>
                  </w:r>
                </w:p>
              </w:tc>
              <w:tc>
                <w:tcPr>
                  <w:tcW w:w="561" w:type="pct"/>
                  <w:gridSpan w:val="4"/>
                </w:tcPr>
                <w:p w14:paraId="1A1F4232" w14:textId="26B167D4" w:rsidR="00762FC6" w:rsidRPr="00331FCB" w:rsidRDefault="00762FC6" w:rsidP="00762FC6">
                  <w:pPr>
                    <w:pStyle w:val="TableBodyText"/>
                    <w:jc w:val="left"/>
                  </w:pPr>
                  <w:r w:rsidRPr="00331FCB">
                    <w:t xml:space="preserve">10 </w:t>
                  </w:r>
                  <w:r>
                    <w:t>years</w:t>
                  </w:r>
                </w:p>
              </w:tc>
              <w:tc>
                <w:tcPr>
                  <w:tcW w:w="565" w:type="pct"/>
                  <w:gridSpan w:val="4"/>
                </w:tcPr>
                <w:p w14:paraId="3C3B25A5" w14:textId="77777777" w:rsidR="00762FC6" w:rsidRPr="00331FCB" w:rsidRDefault="00762FC6" w:rsidP="00762FC6">
                  <w:pPr>
                    <w:pStyle w:val="TableBodyText"/>
                    <w:jc w:val="left"/>
                  </w:pPr>
                  <w:r w:rsidRPr="00331FCB">
                    <w:t>3 years</w:t>
                  </w:r>
                </w:p>
              </w:tc>
              <w:tc>
                <w:tcPr>
                  <w:tcW w:w="560" w:type="pct"/>
                  <w:gridSpan w:val="3"/>
                </w:tcPr>
                <w:p w14:paraId="44200E99" w14:textId="77777777" w:rsidR="00762FC6" w:rsidRPr="00331FCB" w:rsidRDefault="00762FC6" w:rsidP="00762FC6">
                  <w:pPr>
                    <w:pStyle w:val="TableBodyText"/>
                    <w:jc w:val="left"/>
                  </w:pPr>
                  <w:r w:rsidRPr="00331FCB">
                    <w:t>..</w:t>
                  </w:r>
                </w:p>
              </w:tc>
              <w:tc>
                <w:tcPr>
                  <w:tcW w:w="562" w:type="pct"/>
                  <w:gridSpan w:val="5"/>
                </w:tcPr>
                <w:p w14:paraId="1CDCCD64" w14:textId="77777777" w:rsidR="00762FC6" w:rsidRDefault="00762FC6" w:rsidP="00762FC6">
                  <w:pPr>
                    <w:pStyle w:val="TableBodyText"/>
                    <w:jc w:val="left"/>
                  </w:pPr>
                  <w:r w:rsidRPr="00331FCB">
                    <w:t>10 years</w:t>
                  </w:r>
                </w:p>
              </w:tc>
            </w:tr>
            <w:tr w:rsidR="00762FC6" w:rsidRPr="00C87D70" w14:paraId="1DDF9E11" w14:textId="77777777" w:rsidTr="00557A0F">
              <w:tc>
                <w:tcPr>
                  <w:tcW w:w="507" w:type="pct"/>
                  <w:shd w:val="clear" w:color="auto" w:fill="auto"/>
                </w:tcPr>
                <w:p w14:paraId="2F6E9E12" w14:textId="77777777" w:rsidR="00762FC6" w:rsidRDefault="00762FC6" w:rsidP="00762FC6">
                  <w:pPr>
                    <w:pStyle w:val="TableBodyText"/>
                    <w:jc w:val="left"/>
                  </w:pPr>
                  <w:r w:rsidRPr="00C87D70">
                    <w:t>IT equipment</w:t>
                  </w:r>
                </w:p>
              </w:tc>
              <w:tc>
                <w:tcPr>
                  <w:tcW w:w="449" w:type="pct"/>
                  <w:gridSpan w:val="2"/>
                </w:tcPr>
                <w:p w14:paraId="41B2E351" w14:textId="22A1C558" w:rsidR="00762FC6" w:rsidRPr="00C87D70" w:rsidRDefault="00762FC6" w:rsidP="00762FC6">
                  <w:pPr>
                    <w:rPr>
                      <w:rFonts w:ascii="Arial" w:hAnsi="Arial"/>
                      <w:sz w:val="18"/>
                      <w:szCs w:val="20"/>
                    </w:rPr>
                  </w:pPr>
                  <w:r w:rsidRPr="00C87D70">
                    <w:rPr>
                      <w:rFonts w:ascii="Arial" w:hAnsi="Arial"/>
                      <w:sz w:val="18"/>
                      <w:szCs w:val="20"/>
                    </w:rPr>
                    <w:t xml:space="preserve">3 </w:t>
                  </w:r>
                  <w:r>
                    <w:rPr>
                      <w:rFonts w:ascii="Arial" w:hAnsi="Arial"/>
                      <w:sz w:val="18"/>
                      <w:szCs w:val="20"/>
                    </w:rPr>
                    <w:t>years</w:t>
                  </w:r>
                </w:p>
              </w:tc>
              <w:tc>
                <w:tcPr>
                  <w:tcW w:w="638" w:type="pct"/>
                  <w:shd w:val="clear" w:color="auto" w:fill="auto"/>
                </w:tcPr>
                <w:p w14:paraId="06C77EE9" w14:textId="2E731D32" w:rsidR="00762FC6" w:rsidRPr="00C87D70" w:rsidRDefault="00762FC6" w:rsidP="00762FC6">
                  <w:pPr>
                    <w:rPr>
                      <w:rFonts w:ascii="Arial" w:hAnsi="Arial"/>
                      <w:sz w:val="18"/>
                      <w:szCs w:val="20"/>
                    </w:rPr>
                  </w:pPr>
                  <w:r w:rsidRPr="00C87D70">
                    <w:rPr>
                      <w:rFonts w:ascii="Arial" w:hAnsi="Arial"/>
                      <w:sz w:val="18"/>
                      <w:szCs w:val="20"/>
                    </w:rPr>
                    <w:t xml:space="preserve">3–5 </w:t>
                  </w:r>
                  <w:r>
                    <w:rPr>
                      <w:rFonts w:ascii="Arial" w:hAnsi="Arial"/>
                      <w:sz w:val="18"/>
                      <w:szCs w:val="20"/>
                    </w:rPr>
                    <w:t>years</w:t>
                  </w:r>
                </w:p>
              </w:tc>
              <w:tc>
                <w:tcPr>
                  <w:tcW w:w="690" w:type="pct"/>
                  <w:gridSpan w:val="2"/>
                  <w:shd w:val="clear" w:color="auto" w:fill="auto"/>
                </w:tcPr>
                <w:p w14:paraId="2E5C5403" w14:textId="139CDF70" w:rsidR="00762FC6" w:rsidRPr="00C87D70" w:rsidRDefault="00762FC6" w:rsidP="00762FC6">
                  <w:pPr>
                    <w:pStyle w:val="TableBodyText"/>
                    <w:jc w:val="left"/>
                  </w:pPr>
                  <w:r w:rsidRPr="004C48F1">
                    <w:t>2 to 15 years (7 to 46</w:t>
                  </w:r>
                  <w:r w:rsidRPr="00762FC6">
                    <w:rPr>
                      <w:shd w:val="clear" w:color="auto" w:fill="FFFF00"/>
                    </w:rPr>
                    <w:t xml:space="preserve"> </w:t>
                  </w:r>
                  <w:r w:rsidRPr="004C48F1">
                    <w:t>per cent straight line</w:t>
                  </w:r>
                  <w:r w:rsidRPr="00762FC6">
                    <w:rPr>
                      <w:shd w:val="clear" w:color="auto" w:fill="FFFF00"/>
                    </w:rPr>
                    <w:t xml:space="preserve"> </w:t>
                  </w:r>
                  <w:r w:rsidRPr="004C48F1">
                    <w:t>depreciation)</w:t>
                  </w:r>
                </w:p>
              </w:tc>
              <w:tc>
                <w:tcPr>
                  <w:tcW w:w="468" w:type="pct"/>
                  <w:gridSpan w:val="2"/>
                </w:tcPr>
                <w:p w14:paraId="270FC6BE" w14:textId="77777777" w:rsidR="00762FC6" w:rsidRPr="00C87D70" w:rsidRDefault="00762FC6" w:rsidP="00762FC6">
                  <w:pPr>
                    <w:rPr>
                      <w:rFonts w:ascii="Arial" w:hAnsi="Arial"/>
                      <w:sz w:val="18"/>
                      <w:szCs w:val="20"/>
                    </w:rPr>
                  </w:pPr>
                  <w:r w:rsidRPr="00C87D70">
                    <w:rPr>
                      <w:rFonts w:ascii="Arial" w:hAnsi="Arial"/>
                      <w:sz w:val="18"/>
                      <w:szCs w:val="20"/>
                    </w:rPr>
                    <w:t>5 years</w:t>
                  </w:r>
                </w:p>
              </w:tc>
              <w:tc>
                <w:tcPr>
                  <w:tcW w:w="561" w:type="pct"/>
                  <w:gridSpan w:val="4"/>
                </w:tcPr>
                <w:p w14:paraId="23481DB9" w14:textId="15A83273" w:rsidR="00762FC6" w:rsidRPr="00C87D70" w:rsidRDefault="00762FC6" w:rsidP="00762FC6">
                  <w:pPr>
                    <w:rPr>
                      <w:rFonts w:ascii="Arial" w:hAnsi="Arial"/>
                      <w:sz w:val="18"/>
                      <w:szCs w:val="20"/>
                    </w:rPr>
                  </w:pPr>
                  <w:r w:rsidRPr="00C87D70">
                    <w:rPr>
                      <w:rFonts w:ascii="Arial" w:hAnsi="Arial"/>
                      <w:sz w:val="18"/>
                      <w:szCs w:val="20"/>
                    </w:rPr>
                    <w:t xml:space="preserve">3 </w:t>
                  </w:r>
                  <w:r>
                    <w:rPr>
                      <w:rFonts w:ascii="Arial" w:hAnsi="Arial"/>
                      <w:sz w:val="18"/>
                      <w:szCs w:val="20"/>
                    </w:rPr>
                    <w:t>years</w:t>
                  </w:r>
                </w:p>
              </w:tc>
              <w:tc>
                <w:tcPr>
                  <w:tcW w:w="565" w:type="pct"/>
                  <w:gridSpan w:val="4"/>
                </w:tcPr>
                <w:p w14:paraId="20A90C9D" w14:textId="77777777" w:rsidR="00762FC6" w:rsidRPr="00C87D70" w:rsidRDefault="00762FC6" w:rsidP="00762FC6">
                  <w:pPr>
                    <w:rPr>
                      <w:rFonts w:ascii="Arial" w:hAnsi="Arial"/>
                      <w:sz w:val="18"/>
                      <w:szCs w:val="20"/>
                    </w:rPr>
                  </w:pPr>
                  <w:r w:rsidRPr="00C87D70">
                    <w:rPr>
                      <w:rFonts w:ascii="Arial" w:hAnsi="Arial"/>
                      <w:sz w:val="18"/>
                      <w:szCs w:val="20"/>
                    </w:rPr>
                    <w:t>3 years</w:t>
                  </w:r>
                </w:p>
              </w:tc>
              <w:tc>
                <w:tcPr>
                  <w:tcW w:w="560" w:type="pct"/>
                  <w:gridSpan w:val="3"/>
                </w:tcPr>
                <w:p w14:paraId="1055A4AD" w14:textId="77777777" w:rsidR="00762FC6" w:rsidRPr="00C87D70" w:rsidRDefault="00762FC6" w:rsidP="00762FC6">
                  <w:pPr>
                    <w:rPr>
                      <w:rFonts w:ascii="Arial" w:hAnsi="Arial"/>
                      <w:sz w:val="18"/>
                      <w:szCs w:val="20"/>
                    </w:rPr>
                  </w:pPr>
                  <w:r w:rsidRPr="00C87D70">
                    <w:rPr>
                      <w:rFonts w:ascii="Arial" w:hAnsi="Arial"/>
                      <w:sz w:val="18"/>
                      <w:szCs w:val="20"/>
                    </w:rPr>
                    <w:t>..</w:t>
                  </w:r>
                </w:p>
              </w:tc>
              <w:tc>
                <w:tcPr>
                  <w:tcW w:w="562" w:type="pct"/>
                  <w:gridSpan w:val="5"/>
                </w:tcPr>
                <w:p w14:paraId="409B38D2" w14:textId="77777777" w:rsidR="00762FC6" w:rsidRPr="00C87D70" w:rsidRDefault="00762FC6" w:rsidP="00762FC6">
                  <w:pPr>
                    <w:rPr>
                      <w:rFonts w:ascii="Arial" w:hAnsi="Arial"/>
                      <w:sz w:val="18"/>
                      <w:szCs w:val="20"/>
                    </w:rPr>
                  </w:pPr>
                  <w:r w:rsidRPr="00C87D70">
                    <w:rPr>
                      <w:rFonts w:ascii="Arial" w:hAnsi="Arial"/>
                      <w:sz w:val="18"/>
                      <w:szCs w:val="20"/>
                    </w:rPr>
                    <w:t>3 to 6 years</w:t>
                  </w:r>
                </w:p>
              </w:tc>
            </w:tr>
            <w:tr w:rsidR="00E30BA4" w:rsidRPr="00C87D70" w14:paraId="4A675A99" w14:textId="77777777" w:rsidTr="00762FC6">
              <w:trPr>
                <w:gridAfter w:val="1"/>
                <w:wAfter w:w="6" w:type="pct"/>
              </w:trPr>
              <w:tc>
                <w:tcPr>
                  <w:tcW w:w="1593" w:type="pct"/>
                  <w:gridSpan w:val="4"/>
                  <w:shd w:val="clear" w:color="auto" w:fill="auto"/>
                </w:tcPr>
                <w:p w14:paraId="3C318002" w14:textId="7492B9DA" w:rsidR="00E30BA4" w:rsidRPr="00C87D70" w:rsidRDefault="00E30BA4" w:rsidP="00E30BA4">
                  <w:pPr>
                    <w:pStyle w:val="TableBodyText"/>
                    <w:jc w:val="left"/>
                  </w:pPr>
                  <w:r w:rsidRPr="00C87D70">
                    <w:rPr>
                      <w:b/>
                    </w:rPr>
                    <w:t>Threshold capitalisation levels</w:t>
                  </w:r>
                </w:p>
              </w:tc>
              <w:tc>
                <w:tcPr>
                  <w:tcW w:w="599" w:type="pct"/>
                  <w:shd w:val="clear" w:color="auto" w:fill="auto"/>
                </w:tcPr>
                <w:p w14:paraId="52088DEA" w14:textId="77777777" w:rsidR="00E30BA4" w:rsidRPr="00C87D70" w:rsidRDefault="00E30BA4" w:rsidP="00E30BA4">
                  <w:pPr>
                    <w:rPr>
                      <w:rFonts w:ascii="Arial" w:hAnsi="Arial"/>
                      <w:sz w:val="18"/>
                      <w:szCs w:val="20"/>
                    </w:rPr>
                  </w:pPr>
                </w:p>
              </w:tc>
              <w:tc>
                <w:tcPr>
                  <w:tcW w:w="480" w:type="pct"/>
                  <w:gridSpan w:val="2"/>
                  <w:shd w:val="clear" w:color="auto" w:fill="auto"/>
                </w:tcPr>
                <w:p w14:paraId="2D3924E6" w14:textId="77777777" w:rsidR="00E30BA4" w:rsidRPr="00C87D70" w:rsidRDefault="00E30BA4" w:rsidP="00E30BA4">
                  <w:pPr>
                    <w:rPr>
                      <w:rFonts w:ascii="Arial" w:hAnsi="Arial"/>
                      <w:sz w:val="18"/>
                      <w:szCs w:val="20"/>
                    </w:rPr>
                  </w:pPr>
                </w:p>
              </w:tc>
              <w:tc>
                <w:tcPr>
                  <w:tcW w:w="483" w:type="pct"/>
                  <w:gridSpan w:val="4"/>
                </w:tcPr>
                <w:p w14:paraId="04494BB3" w14:textId="77777777" w:rsidR="00E30BA4" w:rsidRPr="00C87D70" w:rsidRDefault="00E30BA4" w:rsidP="00E30BA4">
                  <w:pPr>
                    <w:rPr>
                      <w:rFonts w:ascii="Arial" w:hAnsi="Arial"/>
                      <w:sz w:val="18"/>
                      <w:szCs w:val="20"/>
                    </w:rPr>
                  </w:pPr>
                </w:p>
              </w:tc>
              <w:tc>
                <w:tcPr>
                  <w:tcW w:w="483" w:type="pct"/>
                  <w:gridSpan w:val="4"/>
                </w:tcPr>
                <w:p w14:paraId="0AE9B1BA" w14:textId="77777777" w:rsidR="00E30BA4" w:rsidRPr="00C87D70" w:rsidRDefault="00E30BA4" w:rsidP="00E30BA4">
                  <w:pPr>
                    <w:rPr>
                      <w:rFonts w:ascii="Arial" w:hAnsi="Arial"/>
                      <w:sz w:val="18"/>
                      <w:szCs w:val="20"/>
                    </w:rPr>
                  </w:pPr>
                </w:p>
              </w:tc>
              <w:tc>
                <w:tcPr>
                  <w:tcW w:w="481" w:type="pct"/>
                  <w:gridSpan w:val="3"/>
                </w:tcPr>
                <w:p w14:paraId="4253D9AD" w14:textId="77777777" w:rsidR="00E30BA4" w:rsidRPr="00C87D70" w:rsidRDefault="00E30BA4" w:rsidP="00E30BA4">
                  <w:pPr>
                    <w:rPr>
                      <w:rFonts w:ascii="Arial" w:hAnsi="Arial"/>
                      <w:sz w:val="18"/>
                      <w:szCs w:val="20"/>
                    </w:rPr>
                  </w:pPr>
                </w:p>
              </w:tc>
              <w:tc>
                <w:tcPr>
                  <w:tcW w:w="482" w:type="pct"/>
                  <w:gridSpan w:val="4"/>
                </w:tcPr>
                <w:p w14:paraId="25D2A907" w14:textId="77777777" w:rsidR="00E30BA4" w:rsidRPr="00C87D70" w:rsidRDefault="00E30BA4" w:rsidP="00E30BA4">
                  <w:pPr>
                    <w:rPr>
                      <w:rFonts w:ascii="Arial" w:hAnsi="Arial"/>
                      <w:sz w:val="18"/>
                      <w:szCs w:val="20"/>
                    </w:rPr>
                  </w:pPr>
                </w:p>
              </w:tc>
              <w:tc>
                <w:tcPr>
                  <w:tcW w:w="392" w:type="pct"/>
                </w:tcPr>
                <w:p w14:paraId="1DAB2997" w14:textId="77777777" w:rsidR="00E30BA4" w:rsidRPr="00C87D70" w:rsidRDefault="00E30BA4" w:rsidP="00E30BA4">
                  <w:pPr>
                    <w:rPr>
                      <w:rFonts w:ascii="Arial" w:hAnsi="Arial"/>
                      <w:sz w:val="18"/>
                      <w:szCs w:val="20"/>
                    </w:rPr>
                  </w:pPr>
                </w:p>
              </w:tc>
            </w:tr>
            <w:tr w:rsidR="008836F5" w:rsidRPr="00C87D70" w14:paraId="71FB8959" w14:textId="77777777" w:rsidTr="00557A0F">
              <w:tc>
                <w:tcPr>
                  <w:tcW w:w="507" w:type="pct"/>
                  <w:shd w:val="clear" w:color="auto" w:fill="auto"/>
                </w:tcPr>
                <w:p w14:paraId="7A0B8A20" w14:textId="77777777" w:rsidR="00E30BA4" w:rsidRPr="00C87D70" w:rsidRDefault="00E30BA4" w:rsidP="00E30BA4">
                  <w:pPr>
                    <w:pStyle w:val="TableBodyText"/>
                    <w:jc w:val="left"/>
                  </w:pPr>
                </w:p>
              </w:tc>
              <w:tc>
                <w:tcPr>
                  <w:tcW w:w="449" w:type="pct"/>
                  <w:gridSpan w:val="2"/>
                </w:tcPr>
                <w:p w14:paraId="27BEF912" w14:textId="0DFB70D9" w:rsidR="00E30BA4" w:rsidRPr="00C87D70" w:rsidRDefault="00E30BA4" w:rsidP="00E30BA4">
                  <w:pPr>
                    <w:pStyle w:val="TableBodyText"/>
                    <w:jc w:val="left"/>
                  </w:pPr>
                  <w:r w:rsidRPr="00FA6349">
                    <w:t xml:space="preserve">$5 000 </w:t>
                  </w:r>
                </w:p>
              </w:tc>
              <w:tc>
                <w:tcPr>
                  <w:tcW w:w="638" w:type="pct"/>
                  <w:shd w:val="clear" w:color="auto" w:fill="auto"/>
                </w:tcPr>
                <w:p w14:paraId="6465DC5D" w14:textId="0224FDF7" w:rsidR="00E30BA4" w:rsidRPr="00C87D70" w:rsidRDefault="00E30BA4" w:rsidP="00E30BA4">
                  <w:pPr>
                    <w:pStyle w:val="TableBodyText"/>
                    <w:jc w:val="left"/>
                  </w:pPr>
                  <w:r w:rsidRPr="00FA6349">
                    <w:t xml:space="preserve">$5 000 </w:t>
                  </w:r>
                </w:p>
              </w:tc>
              <w:tc>
                <w:tcPr>
                  <w:tcW w:w="690" w:type="pct"/>
                  <w:gridSpan w:val="2"/>
                  <w:shd w:val="clear" w:color="auto" w:fill="auto"/>
                </w:tcPr>
                <w:p w14:paraId="32C3B7CC" w14:textId="69B6BA54" w:rsidR="00E30BA4" w:rsidRPr="00C87D70" w:rsidRDefault="00E30BA4" w:rsidP="0031255D">
                  <w:pPr>
                    <w:pStyle w:val="TableBodyText"/>
                    <w:ind w:left="0"/>
                    <w:jc w:val="left"/>
                  </w:pPr>
                  <w:r w:rsidRPr="00FA6349">
                    <w:t>Buildings: $10 000</w:t>
                  </w:r>
                  <w:r w:rsidR="00604C4B">
                    <w:t xml:space="preserve">; Land: $1; </w:t>
                  </w:r>
                  <w:r w:rsidR="00604C4B" w:rsidRPr="00604C4B">
                    <w:t xml:space="preserve">Plant and equipment: </w:t>
                  </w:r>
                  <w:r w:rsidR="00604C4B">
                    <w:t>$5 </w:t>
                  </w:r>
                  <w:r w:rsidR="00604C4B" w:rsidRPr="00604C4B">
                    <w:t>000</w:t>
                  </w:r>
                  <w:r w:rsidR="00604C4B">
                    <w:t xml:space="preserve">; </w:t>
                  </w:r>
                  <w:r w:rsidR="00360973" w:rsidRPr="004C48F1">
                    <w:t>Right</w:t>
                  </w:r>
                  <w:r w:rsidR="0031255D">
                    <w:noBreakHyphen/>
                  </w:r>
                  <w:r w:rsidR="00360973" w:rsidRPr="004C48F1">
                    <w:t>of</w:t>
                  </w:r>
                  <w:r w:rsidR="0031255D">
                    <w:noBreakHyphen/>
                  </w:r>
                  <w:r w:rsidR="00360973" w:rsidRPr="004C48F1">
                    <w:t>use assets</w:t>
                  </w:r>
                  <w:r w:rsidR="00604C4B" w:rsidRPr="00604C4B">
                    <w:t>: $1</w:t>
                  </w:r>
                  <w:r w:rsidR="000A2664">
                    <w:t>0 </w:t>
                  </w:r>
                  <w:r w:rsidR="00604C4B" w:rsidRPr="00604C4B">
                    <w:t>000</w:t>
                  </w:r>
                  <w:r w:rsidR="00604C4B">
                    <w:t>; Computer software: $100 </w:t>
                  </w:r>
                  <w:r w:rsidR="00604C4B" w:rsidRPr="00604C4B">
                    <w:t>000</w:t>
                  </w:r>
                </w:p>
              </w:tc>
              <w:tc>
                <w:tcPr>
                  <w:tcW w:w="471" w:type="pct"/>
                  <w:gridSpan w:val="3"/>
                </w:tcPr>
                <w:p w14:paraId="196EE90D" w14:textId="1FBFD04F" w:rsidR="00E30BA4" w:rsidRPr="00C87D70" w:rsidRDefault="00E30BA4" w:rsidP="00E30BA4">
                  <w:pPr>
                    <w:pStyle w:val="TableBodyText"/>
                    <w:jc w:val="left"/>
                  </w:pPr>
                  <w:r w:rsidRPr="00FA6349">
                    <w:t xml:space="preserve">$5 000 </w:t>
                  </w:r>
                </w:p>
              </w:tc>
              <w:tc>
                <w:tcPr>
                  <w:tcW w:w="562" w:type="pct"/>
                  <w:gridSpan w:val="4"/>
                </w:tcPr>
                <w:p w14:paraId="4EEF4654" w14:textId="1CA71EC0" w:rsidR="00E30BA4" w:rsidRPr="00C87D70" w:rsidRDefault="00E30BA4" w:rsidP="00E30BA4">
                  <w:pPr>
                    <w:pStyle w:val="TableBodyText"/>
                    <w:jc w:val="left"/>
                  </w:pPr>
                  <w:r w:rsidRPr="00FA6349">
                    <w:t xml:space="preserve">$5 000 </w:t>
                  </w:r>
                </w:p>
              </w:tc>
              <w:tc>
                <w:tcPr>
                  <w:tcW w:w="561" w:type="pct"/>
                  <w:gridSpan w:val="3"/>
                </w:tcPr>
                <w:p w14:paraId="4C69DD9B" w14:textId="52535A21" w:rsidR="00E30BA4" w:rsidRPr="00C87D70" w:rsidRDefault="00E30BA4" w:rsidP="00E30BA4">
                  <w:pPr>
                    <w:pStyle w:val="TableBodyText"/>
                    <w:jc w:val="left"/>
                  </w:pPr>
                  <w:r w:rsidRPr="00FA6349">
                    <w:t xml:space="preserve">$10 000 </w:t>
                  </w:r>
                </w:p>
              </w:tc>
              <w:tc>
                <w:tcPr>
                  <w:tcW w:w="567" w:type="pct"/>
                  <w:gridSpan w:val="5"/>
                </w:tcPr>
                <w:p w14:paraId="14675C07" w14:textId="62B58E89" w:rsidR="00E30BA4" w:rsidRPr="00C87D70" w:rsidRDefault="00E30BA4" w:rsidP="00E30BA4">
                  <w:pPr>
                    <w:pStyle w:val="TableBodyText"/>
                    <w:jc w:val="left"/>
                  </w:pPr>
                  <w:r w:rsidRPr="00FA6349">
                    <w:t>$2 000</w:t>
                  </w:r>
                </w:p>
              </w:tc>
              <w:tc>
                <w:tcPr>
                  <w:tcW w:w="555" w:type="pct"/>
                  <w:gridSpan w:val="3"/>
                </w:tcPr>
                <w:p w14:paraId="5C422E6A" w14:textId="25D411A5" w:rsidR="00E30BA4" w:rsidRPr="00C87D70" w:rsidRDefault="00604C4B" w:rsidP="00557A0F">
                  <w:pPr>
                    <w:pStyle w:val="TableBodyText"/>
                    <w:jc w:val="left"/>
                  </w:pPr>
                  <w:r>
                    <w:t>Buildings: $10 </w:t>
                  </w:r>
                  <w:r w:rsidR="00E30BA4" w:rsidRPr="00FA6349">
                    <w:t>000</w:t>
                  </w:r>
                  <w:r>
                    <w:t xml:space="preserve">; Land </w:t>
                  </w:r>
                  <w:r w:rsidRPr="007D75AD">
                    <w:t>$10 000 (</w:t>
                  </w:r>
                  <w:r>
                    <w:t>PH</w:t>
                  </w:r>
                  <w:r w:rsidR="00557A0F">
                    <w:t>)</w:t>
                  </w:r>
                  <w:r>
                    <w:t xml:space="preserve">; </w:t>
                  </w:r>
                  <w:r w:rsidRPr="00604C4B">
                    <w:t>Plant and equipment: $</w:t>
                  </w:r>
                  <w:r>
                    <w:t>10</w:t>
                  </w:r>
                  <w:r w:rsidR="000A2664">
                    <w:t> </w:t>
                  </w:r>
                  <w:r w:rsidRPr="00604C4B">
                    <w:t>000</w:t>
                  </w:r>
                </w:p>
              </w:tc>
            </w:tr>
            <w:tr w:rsidR="00604C4B" w:rsidRPr="00C87D70" w14:paraId="69184F06" w14:textId="77777777" w:rsidTr="0041145C">
              <w:tc>
                <w:tcPr>
                  <w:tcW w:w="2193" w:type="pct"/>
                  <w:gridSpan w:val="5"/>
                  <w:shd w:val="clear" w:color="auto" w:fill="auto"/>
                </w:tcPr>
                <w:p w14:paraId="0A672889" w14:textId="25058236" w:rsidR="00604C4B" w:rsidRPr="00604C4B" w:rsidRDefault="00604C4B" w:rsidP="00604C4B">
                  <w:pPr>
                    <w:pStyle w:val="TableBodyText"/>
                    <w:jc w:val="left"/>
                    <w:rPr>
                      <w:b/>
                    </w:rPr>
                  </w:pPr>
                  <w:r w:rsidRPr="00604C4B">
                    <w:rPr>
                      <w:b/>
                    </w:rPr>
                    <w:t>Assets capitalised individually or in groups</w:t>
                  </w:r>
                </w:p>
              </w:tc>
              <w:tc>
                <w:tcPr>
                  <w:tcW w:w="562" w:type="pct"/>
                  <w:gridSpan w:val="4"/>
                </w:tcPr>
                <w:p w14:paraId="328AB9E1" w14:textId="77777777" w:rsidR="00604C4B" w:rsidRPr="00C87D70" w:rsidRDefault="00604C4B" w:rsidP="00604C4B">
                  <w:pPr>
                    <w:pStyle w:val="TableBodyText"/>
                    <w:jc w:val="left"/>
                  </w:pPr>
                </w:p>
              </w:tc>
              <w:tc>
                <w:tcPr>
                  <w:tcW w:w="562" w:type="pct"/>
                  <w:gridSpan w:val="4"/>
                </w:tcPr>
                <w:p w14:paraId="0F09C9BA" w14:textId="77777777" w:rsidR="00604C4B" w:rsidRPr="00C87D70" w:rsidRDefault="00604C4B" w:rsidP="00604C4B">
                  <w:pPr>
                    <w:pStyle w:val="TableBodyText"/>
                    <w:jc w:val="left"/>
                  </w:pPr>
                </w:p>
              </w:tc>
              <w:tc>
                <w:tcPr>
                  <w:tcW w:w="561" w:type="pct"/>
                  <w:gridSpan w:val="3"/>
                </w:tcPr>
                <w:p w14:paraId="058CA802" w14:textId="77777777" w:rsidR="00604C4B" w:rsidRPr="00C87D70" w:rsidRDefault="00604C4B" w:rsidP="00604C4B">
                  <w:pPr>
                    <w:pStyle w:val="TableBodyText"/>
                    <w:jc w:val="left"/>
                  </w:pPr>
                </w:p>
              </w:tc>
              <w:tc>
                <w:tcPr>
                  <w:tcW w:w="564" w:type="pct"/>
                  <w:gridSpan w:val="4"/>
                </w:tcPr>
                <w:p w14:paraId="00161A7D" w14:textId="77777777" w:rsidR="00604C4B" w:rsidRPr="00C87D70" w:rsidRDefault="00604C4B" w:rsidP="00604C4B">
                  <w:pPr>
                    <w:pStyle w:val="TableBodyText"/>
                    <w:jc w:val="left"/>
                  </w:pPr>
                </w:p>
              </w:tc>
              <w:tc>
                <w:tcPr>
                  <w:tcW w:w="558" w:type="pct"/>
                  <w:gridSpan w:val="4"/>
                </w:tcPr>
                <w:p w14:paraId="6B02E501" w14:textId="2DBDAD41" w:rsidR="00604C4B" w:rsidRPr="00C87D70" w:rsidRDefault="00604C4B" w:rsidP="00604C4B">
                  <w:pPr>
                    <w:pStyle w:val="TableBodyText"/>
                    <w:jc w:val="left"/>
                  </w:pPr>
                </w:p>
              </w:tc>
            </w:tr>
            <w:tr w:rsidR="00604C4B" w:rsidRPr="00C87D70" w14:paraId="6BB837FA" w14:textId="77777777" w:rsidTr="0041145C">
              <w:tc>
                <w:tcPr>
                  <w:tcW w:w="507" w:type="pct"/>
                  <w:tcBorders>
                    <w:bottom w:val="single" w:sz="6" w:space="0" w:color="BFBFBF" w:themeColor="background1" w:themeShade="BF"/>
                  </w:tcBorders>
                  <w:shd w:val="clear" w:color="auto" w:fill="auto"/>
                </w:tcPr>
                <w:p w14:paraId="649C83CD" w14:textId="7FDB2432" w:rsidR="00604C4B" w:rsidRPr="00C87D70" w:rsidRDefault="00604C4B" w:rsidP="00604C4B">
                  <w:pPr>
                    <w:pStyle w:val="TableBodyText"/>
                    <w:jc w:val="left"/>
                  </w:pPr>
                </w:p>
              </w:tc>
              <w:tc>
                <w:tcPr>
                  <w:tcW w:w="449" w:type="pct"/>
                  <w:gridSpan w:val="2"/>
                  <w:tcBorders>
                    <w:bottom w:val="single" w:sz="6" w:space="0" w:color="BFBFBF" w:themeColor="background1" w:themeShade="BF"/>
                  </w:tcBorders>
                </w:tcPr>
                <w:p w14:paraId="63793B84" w14:textId="6FB94ADA" w:rsidR="00604C4B" w:rsidRPr="00C87D70" w:rsidRDefault="00604C4B" w:rsidP="00604C4B">
                  <w:pPr>
                    <w:rPr>
                      <w:rFonts w:ascii="Arial" w:hAnsi="Arial"/>
                      <w:sz w:val="18"/>
                      <w:szCs w:val="20"/>
                    </w:rPr>
                  </w:pPr>
                  <w:r w:rsidRPr="00C87D70">
                    <w:rPr>
                      <w:rFonts w:ascii="Arial" w:hAnsi="Arial"/>
                      <w:sz w:val="18"/>
                      <w:szCs w:val="20"/>
                    </w:rPr>
                    <w:t>Individually</w:t>
                  </w:r>
                </w:p>
              </w:tc>
              <w:tc>
                <w:tcPr>
                  <w:tcW w:w="638" w:type="pct"/>
                  <w:tcBorders>
                    <w:bottom w:val="single" w:sz="6" w:space="0" w:color="BFBFBF" w:themeColor="background1" w:themeShade="BF"/>
                  </w:tcBorders>
                  <w:shd w:val="clear" w:color="auto" w:fill="auto"/>
                </w:tcPr>
                <w:p w14:paraId="3CED344F" w14:textId="51A89411" w:rsidR="00604C4B" w:rsidRPr="00C87D70" w:rsidRDefault="00604C4B" w:rsidP="00604C4B">
                  <w:pPr>
                    <w:rPr>
                      <w:rFonts w:ascii="Arial" w:hAnsi="Arial"/>
                      <w:sz w:val="18"/>
                      <w:szCs w:val="20"/>
                    </w:rPr>
                  </w:pPr>
                  <w:r w:rsidRPr="00914F6D">
                    <w:rPr>
                      <w:rFonts w:ascii="Arial" w:hAnsi="Arial"/>
                      <w:sz w:val="18"/>
                      <w:szCs w:val="20"/>
                    </w:rPr>
                    <w:t>Individually</w:t>
                  </w:r>
                </w:p>
              </w:tc>
              <w:tc>
                <w:tcPr>
                  <w:tcW w:w="599" w:type="pct"/>
                  <w:tcBorders>
                    <w:bottom w:val="single" w:sz="6" w:space="0" w:color="BFBFBF" w:themeColor="background1" w:themeShade="BF"/>
                  </w:tcBorders>
                  <w:shd w:val="clear" w:color="auto" w:fill="auto"/>
                </w:tcPr>
                <w:p w14:paraId="72FC901D" w14:textId="4B45430A" w:rsidR="00604C4B" w:rsidRPr="00C87D70" w:rsidRDefault="00604C4B" w:rsidP="00604C4B">
                  <w:pPr>
                    <w:rPr>
                      <w:rFonts w:ascii="Arial" w:hAnsi="Arial"/>
                      <w:sz w:val="18"/>
                      <w:szCs w:val="20"/>
                    </w:rPr>
                  </w:pPr>
                  <w:r w:rsidRPr="00914F6D">
                    <w:rPr>
                      <w:rFonts w:ascii="Arial" w:hAnsi="Arial"/>
                      <w:sz w:val="18"/>
                      <w:szCs w:val="20"/>
                    </w:rPr>
                    <w:t>Individually</w:t>
                  </w:r>
                </w:p>
              </w:tc>
              <w:tc>
                <w:tcPr>
                  <w:tcW w:w="562" w:type="pct"/>
                  <w:gridSpan w:val="4"/>
                  <w:tcBorders>
                    <w:bottom w:val="single" w:sz="6" w:space="0" w:color="BFBFBF" w:themeColor="background1" w:themeShade="BF"/>
                  </w:tcBorders>
                </w:tcPr>
                <w:p w14:paraId="5E31AB6F" w14:textId="3B29C1EE" w:rsidR="00604C4B" w:rsidRPr="00C87D70" w:rsidRDefault="00604C4B" w:rsidP="00604C4B">
                  <w:pPr>
                    <w:rPr>
                      <w:rFonts w:ascii="Arial" w:hAnsi="Arial"/>
                      <w:sz w:val="18"/>
                      <w:szCs w:val="20"/>
                    </w:rPr>
                  </w:pPr>
                  <w:r w:rsidRPr="00914F6D">
                    <w:rPr>
                      <w:rFonts w:ascii="Arial" w:hAnsi="Arial"/>
                      <w:sz w:val="18"/>
                      <w:szCs w:val="20"/>
                    </w:rPr>
                    <w:t>Individually</w:t>
                  </w:r>
                </w:p>
              </w:tc>
              <w:tc>
                <w:tcPr>
                  <w:tcW w:w="562" w:type="pct"/>
                  <w:gridSpan w:val="4"/>
                  <w:tcBorders>
                    <w:bottom w:val="single" w:sz="6" w:space="0" w:color="BFBFBF" w:themeColor="background1" w:themeShade="BF"/>
                  </w:tcBorders>
                </w:tcPr>
                <w:p w14:paraId="328AA7C1" w14:textId="4C01A57F" w:rsidR="00604C4B" w:rsidRPr="00C87D70" w:rsidRDefault="00604C4B" w:rsidP="00604C4B">
                  <w:pPr>
                    <w:rPr>
                      <w:rFonts w:ascii="Arial" w:hAnsi="Arial"/>
                      <w:sz w:val="18"/>
                      <w:szCs w:val="20"/>
                    </w:rPr>
                  </w:pPr>
                  <w:r w:rsidRPr="00914F6D">
                    <w:rPr>
                      <w:rFonts w:ascii="Arial" w:hAnsi="Arial"/>
                      <w:sz w:val="18"/>
                      <w:szCs w:val="20"/>
                    </w:rPr>
                    <w:t>Individually</w:t>
                  </w:r>
                </w:p>
              </w:tc>
              <w:tc>
                <w:tcPr>
                  <w:tcW w:w="561" w:type="pct"/>
                  <w:gridSpan w:val="3"/>
                  <w:tcBorders>
                    <w:bottom w:val="single" w:sz="6" w:space="0" w:color="BFBFBF" w:themeColor="background1" w:themeShade="BF"/>
                  </w:tcBorders>
                </w:tcPr>
                <w:p w14:paraId="0C525635" w14:textId="7636D166" w:rsidR="00604C4B" w:rsidRPr="00C87D70" w:rsidRDefault="00604C4B" w:rsidP="00604C4B">
                  <w:pPr>
                    <w:rPr>
                      <w:rFonts w:ascii="Arial" w:hAnsi="Arial"/>
                      <w:sz w:val="18"/>
                      <w:szCs w:val="20"/>
                    </w:rPr>
                  </w:pPr>
                  <w:r w:rsidRPr="00914F6D">
                    <w:rPr>
                      <w:rFonts w:ascii="Arial" w:hAnsi="Arial"/>
                      <w:sz w:val="18"/>
                      <w:szCs w:val="20"/>
                    </w:rPr>
                    <w:t>Individually</w:t>
                  </w:r>
                </w:p>
              </w:tc>
              <w:tc>
                <w:tcPr>
                  <w:tcW w:w="564" w:type="pct"/>
                  <w:gridSpan w:val="4"/>
                  <w:tcBorders>
                    <w:bottom w:val="single" w:sz="6" w:space="0" w:color="BFBFBF" w:themeColor="background1" w:themeShade="BF"/>
                  </w:tcBorders>
                </w:tcPr>
                <w:p w14:paraId="4DC1E07B" w14:textId="300C3536" w:rsidR="00604C4B" w:rsidRPr="00C87D70" w:rsidRDefault="00604C4B" w:rsidP="00604C4B">
                  <w:pPr>
                    <w:rPr>
                      <w:rFonts w:ascii="Arial" w:hAnsi="Arial"/>
                      <w:sz w:val="18"/>
                      <w:szCs w:val="20"/>
                    </w:rPr>
                  </w:pPr>
                  <w:r w:rsidRPr="00914F6D">
                    <w:rPr>
                      <w:rFonts w:ascii="Arial" w:hAnsi="Arial"/>
                      <w:sz w:val="18"/>
                      <w:szCs w:val="20"/>
                    </w:rPr>
                    <w:t>Individually</w:t>
                  </w:r>
                </w:p>
              </w:tc>
              <w:tc>
                <w:tcPr>
                  <w:tcW w:w="558" w:type="pct"/>
                  <w:gridSpan w:val="4"/>
                  <w:tcBorders>
                    <w:bottom w:val="single" w:sz="6" w:space="0" w:color="BFBFBF" w:themeColor="background1" w:themeShade="BF"/>
                  </w:tcBorders>
                </w:tcPr>
                <w:p w14:paraId="21CDB57D" w14:textId="5F621588" w:rsidR="00604C4B" w:rsidRPr="00C87D70" w:rsidRDefault="00604C4B" w:rsidP="00604C4B">
                  <w:pPr>
                    <w:rPr>
                      <w:rFonts w:ascii="Arial" w:hAnsi="Arial"/>
                      <w:sz w:val="18"/>
                      <w:szCs w:val="20"/>
                    </w:rPr>
                  </w:pPr>
                  <w:r w:rsidRPr="00914F6D">
                    <w:rPr>
                      <w:rFonts w:ascii="Arial" w:hAnsi="Arial"/>
                      <w:sz w:val="18"/>
                      <w:szCs w:val="20"/>
                    </w:rPr>
                    <w:t>Individually</w:t>
                  </w:r>
                </w:p>
              </w:tc>
            </w:tr>
          </w:tbl>
          <w:p w14:paraId="69638B56" w14:textId="77777777" w:rsidR="00E30BA4" w:rsidRDefault="00E30BA4" w:rsidP="00E30BA4">
            <w:pPr>
              <w:pStyle w:val="Box"/>
            </w:pPr>
          </w:p>
        </w:tc>
      </w:tr>
      <w:tr w:rsidR="00E30BA4" w14:paraId="55DB9760" w14:textId="77777777" w:rsidTr="00E30BA4">
        <w:tc>
          <w:tcPr>
            <w:tcW w:w="5000" w:type="pct"/>
            <w:tcBorders>
              <w:top w:val="nil"/>
              <w:left w:val="nil"/>
              <w:bottom w:val="nil"/>
              <w:right w:val="nil"/>
            </w:tcBorders>
            <w:shd w:val="clear" w:color="auto" w:fill="auto"/>
          </w:tcPr>
          <w:p w14:paraId="3AD699EB" w14:textId="0B09F9CF" w:rsidR="00E30BA4" w:rsidRDefault="00E30BA4" w:rsidP="006F0AF7">
            <w:pPr>
              <w:pStyle w:val="Note"/>
              <w:rPr>
                <w:i/>
              </w:rPr>
            </w:pPr>
            <w:r w:rsidRPr="008E77FE">
              <w:rPr>
                <w:rStyle w:val="NoteLabel"/>
              </w:rPr>
              <w:t>a</w:t>
            </w:r>
            <w:r w:rsidR="00374573">
              <w:rPr>
                <w:rStyle w:val="NoteLabel"/>
              </w:rPr>
              <w:t> </w:t>
            </w:r>
            <w:r w:rsidR="00374573" w:rsidRPr="009E6F57">
              <w:rPr>
                <w:szCs w:val="18"/>
              </w:rPr>
              <w:t xml:space="preserve">.. Not applicable. </w:t>
            </w:r>
            <w:r w:rsidR="00374573">
              <w:rPr>
                <w:rStyle w:val="NoteLabel"/>
              </w:rPr>
              <w:t>b</w:t>
            </w:r>
            <w:r w:rsidR="00374573">
              <w:t> </w:t>
            </w:r>
            <w:r w:rsidR="008836F5" w:rsidRPr="008836F5">
              <w:t>Market value is the current (net) value market selling price or exchange value</w:t>
            </w:r>
            <w:r w:rsidR="00F960D2">
              <w:t xml:space="preserve">. </w:t>
            </w:r>
            <w:r w:rsidR="006F0AF7">
              <w:rPr>
                <w:rStyle w:val="NoteLabel"/>
              </w:rPr>
              <w:t>c </w:t>
            </w:r>
            <w:r w:rsidR="008836F5" w:rsidRPr="008836F5">
              <w:t>Victoria revalues properties every 5 years by kerbside inspection, with the most rece</w:t>
            </w:r>
            <w:r w:rsidR="00BF3FE0">
              <w:t>nt revaluation completed in 2018</w:t>
            </w:r>
            <w:r w:rsidR="00C47BFD">
              <w:noBreakHyphen/>
            </w:r>
            <w:r w:rsidR="008836F5" w:rsidRPr="008836F5">
              <w:t>1</w:t>
            </w:r>
            <w:r w:rsidR="00BF3FE0">
              <w:t>9</w:t>
            </w:r>
            <w:r w:rsidR="008836F5" w:rsidRPr="008836F5">
              <w:t xml:space="preserve">. In interim years, asset value movements are assessed based on indices </w:t>
            </w:r>
            <w:r w:rsidR="00BF3FE0">
              <w:t>—</w:t>
            </w:r>
            <w:r w:rsidR="008836F5" w:rsidRPr="008836F5">
              <w:t xml:space="preserve"> if foun</w:t>
            </w:r>
            <w:r w:rsidR="002A5081">
              <w:t>d to be material (&gt;10 per cent</w:t>
            </w:r>
            <w:r w:rsidR="008836F5" w:rsidRPr="008836F5">
              <w:t xml:space="preserve">), a Managerial Revaluation </w:t>
            </w:r>
            <w:r w:rsidR="00BF3FE0">
              <w:t xml:space="preserve">is </w:t>
            </w:r>
            <w:r w:rsidR="008836F5" w:rsidRPr="008836F5">
              <w:t>undertaken, and</w:t>
            </w:r>
            <w:r w:rsidR="00BF3FE0">
              <w:t xml:space="preserve">, </w:t>
            </w:r>
            <w:r w:rsidR="008836F5" w:rsidRPr="008836F5">
              <w:t>if found to be exceptionally material (</w:t>
            </w:r>
            <w:r w:rsidR="00BF3FE0">
              <w:t>&gt;=</w:t>
            </w:r>
            <w:r w:rsidR="008836F5" w:rsidRPr="008836F5">
              <w:t xml:space="preserve"> 40 per cent), an Interim Valuation </w:t>
            </w:r>
            <w:r w:rsidR="00BF3FE0">
              <w:t xml:space="preserve">is </w:t>
            </w:r>
            <w:r w:rsidR="00BF3FE0" w:rsidRPr="008836F5">
              <w:t>undertaken</w:t>
            </w:r>
            <w:r w:rsidR="008836F5" w:rsidRPr="008836F5">
              <w:t xml:space="preserve">. </w:t>
            </w:r>
            <w:r w:rsidR="006F0AF7">
              <w:rPr>
                <w:rStyle w:val="NoteLabel"/>
              </w:rPr>
              <w:t>d </w:t>
            </w:r>
            <w:r w:rsidR="008836F5">
              <w:t>U</w:t>
            </w:r>
            <w:r w:rsidR="008836F5" w:rsidRPr="008836F5">
              <w:t>sef</w:t>
            </w:r>
            <w:r w:rsidR="008836F5">
              <w:t xml:space="preserve">ul asset life for leased assets: </w:t>
            </w:r>
            <w:r w:rsidR="008836F5" w:rsidRPr="008836F5">
              <w:t>40 years (2.5 per cent straight line depreciation).</w:t>
            </w:r>
            <w:r w:rsidR="008836F5">
              <w:t xml:space="preserve"> </w:t>
            </w:r>
            <w:r w:rsidR="006F0AF7">
              <w:rPr>
                <w:rStyle w:val="NoteLabel"/>
              </w:rPr>
              <w:t>e </w:t>
            </w:r>
            <w:r w:rsidR="008836F5" w:rsidRPr="008836F5">
              <w:t>SOMIH dwellings are in remote areas on lan</w:t>
            </w:r>
            <w:r w:rsidR="003211A2">
              <w:t>d not owned by government.</w:t>
            </w:r>
            <w:r w:rsidR="003211A2">
              <w:tab/>
            </w:r>
            <w:r w:rsidR="003211A2">
              <w:tab/>
            </w:r>
            <w:r w:rsidR="003211A2">
              <w:tab/>
            </w:r>
            <w:r w:rsidR="003211A2">
              <w:tab/>
            </w:r>
          </w:p>
        </w:tc>
      </w:tr>
      <w:tr w:rsidR="00E30BA4" w14:paraId="2ED404EC" w14:textId="77777777" w:rsidTr="00E30BA4">
        <w:tc>
          <w:tcPr>
            <w:tcW w:w="5000" w:type="pct"/>
            <w:tcBorders>
              <w:top w:val="nil"/>
              <w:left w:val="nil"/>
              <w:bottom w:val="nil"/>
              <w:right w:val="nil"/>
            </w:tcBorders>
            <w:shd w:val="clear" w:color="auto" w:fill="auto"/>
          </w:tcPr>
          <w:p w14:paraId="644B10E5" w14:textId="3062CCD8" w:rsidR="00E30BA4" w:rsidRDefault="00E30BA4" w:rsidP="008836F5">
            <w:pPr>
              <w:pStyle w:val="Source"/>
            </w:pPr>
            <w:r>
              <w:rPr>
                <w:i/>
              </w:rPr>
              <w:t>Source</w:t>
            </w:r>
            <w:r w:rsidRPr="00167F06">
              <w:t xml:space="preserve">: </w:t>
            </w:r>
            <w:r w:rsidR="008836F5" w:rsidRPr="008836F5">
              <w:t>State and Territory gov</w:t>
            </w:r>
            <w:r w:rsidR="008836F5">
              <w:t>ernments (unpublished).</w:t>
            </w:r>
          </w:p>
        </w:tc>
      </w:tr>
      <w:tr w:rsidR="00E30BA4" w14:paraId="69E027B8" w14:textId="77777777" w:rsidTr="00E30BA4">
        <w:tc>
          <w:tcPr>
            <w:tcW w:w="5000" w:type="pct"/>
            <w:tcBorders>
              <w:top w:val="nil"/>
              <w:left w:val="nil"/>
              <w:bottom w:val="single" w:sz="6" w:space="0" w:color="78A22F"/>
              <w:right w:val="nil"/>
            </w:tcBorders>
            <w:shd w:val="clear" w:color="auto" w:fill="auto"/>
          </w:tcPr>
          <w:p w14:paraId="16CDA283" w14:textId="77777777" w:rsidR="00E30BA4" w:rsidRDefault="00E30BA4" w:rsidP="00E30BA4">
            <w:pPr>
              <w:pStyle w:val="Box"/>
              <w:spacing w:before="0" w:line="120" w:lineRule="exact"/>
            </w:pPr>
          </w:p>
        </w:tc>
      </w:tr>
      <w:tr w:rsidR="00E30BA4" w:rsidRPr="000863A5" w14:paraId="355384F0" w14:textId="77777777" w:rsidTr="00E30BA4">
        <w:tc>
          <w:tcPr>
            <w:tcW w:w="5000" w:type="pct"/>
            <w:tcBorders>
              <w:top w:val="single" w:sz="6" w:space="0" w:color="78A22F"/>
              <w:left w:val="nil"/>
              <w:bottom w:val="nil"/>
              <w:right w:val="nil"/>
            </w:tcBorders>
          </w:tcPr>
          <w:p w14:paraId="5760BD85" w14:textId="73CB494F" w:rsidR="00E30BA4" w:rsidRPr="00626D32" w:rsidRDefault="00E30BA4" w:rsidP="00E30BA4">
            <w:pPr>
              <w:pStyle w:val="BoxSpaceBelow"/>
            </w:pPr>
          </w:p>
        </w:tc>
      </w:tr>
    </w:tbl>
    <w:p w14:paraId="63264EC3" w14:textId="77777777" w:rsidR="00E30BA4" w:rsidRPr="00A83249" w:rsidRDefault="00E30BA4" w:rsidP="00A83249">
      <w:pPr>
        <w:pStyle w:val="BodyText"/>
        <w:sectPr w:rsidR="00E30BA4" w:rsidRPr="00A83249" w:rsidSect="00536344">
          <w:headerReference w:type="even" r:id="rId12"/>
          <w:headerReference w:type="default" r:id="rId13"/>
          <w:footerReference w:type="even" r:id="rId14"/>
          <w:footerReference w:type="default" r:id="rId15"/>
          <w:pgSz w:w="16840" w:h="11907" w:orient="landscape" w:code="9"/>
          <w:pgMar w:top="1814" w:right="1985" w:bottom="1304" w:left="1247" w:header="1701" w:footer="397" w:gutter="0"/>
          <w:pgNumType w:chapSep="period"/>
          <w:cols w:space="720"/>
          <w:docGrid w:linePitch="326"/>
        </w:sect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911FB" w14:paraId="73D24DEC" w14:textId="77777777" w:rsidTr="00845342">
        <w:trPr>
          <w:tblHeader/>
        </w:trPr>
        <w:tc>
          <w:tcPr>
            <w:tcW w:w="5000" w:type="pct"/>
            <w:tcBorders>
              <w:top w:val="single" w:sz="6" w:space="0" w:color="78A22F"/>
              <w:left w:val="nil"/>
              <w:bottom w:val="nil"/>
              <w:right w:val="nil"/>
            </w:tcBorders>
            <w:shd w:val="clear" w:color="auto" w:fill="auto"/>
          </w:tcPr>
          <w:p w14:paraId="6F2EDC9C" w14:textId="79E8AA05" w:rsidR="005911FB" w:rsidRPr="00784A05" w:rsidRDefault="005911FB" w:rsidP="0031255D">
            <w:pPr>
              <w:pStyle w:val="TableTitle"/>
            </w:pPr>
            <w:r>
              <w:rPr>
                <w:b w:val="0"/>
              </w:rPr>
              <w:lastRenderedPageBreak/>
              <w:t xml:space="preserve">Table </w:t>
            </w:r>
            <w:r w:rsidR="00A16D87">
              <w:rPr>
                <w:b w:val="0"/>
              </w:rPr>
              <w:t>18</w:t>
            </w:r>
            <w:r w:rsidR="00FD437C">
              <w:rPr>
                <w:b w:val="0"/>
              </w:rPr>
              <w:t>.5</w:t>
            </w:r>
            <w:r>
              <w:tab/>
            </w:r>
            <w:r w:rsidR="00944839" w:rsidRPr="00944839">
              <w:t xml:space="preserve">State and Territory programs included in the community housing data collection, </w:t>
            </w:r>
            <w:r w:rsidR="00E60CC8" w:rsidRPr="004C48F1">
              <w:t>2019</w:t>
            </w:r>
            <w:r w:rsidR="0031255D">
              <w:noBreakHyphen/>
            </w:r>
            <w:r w:rsidR="00E60CC8" w:rsidRPr="004C48F1">
              <w:t>20</w:t>
            </w:r>
          </w:p>
        </w:tc>
      </w:tr>
      <w:tr w:rsidR="005911FB" w14:paraId="57738B3C" w14:textId="77777777" w:rsidTr="0084534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135"/>
              <w:gridCol w:w="7370"/>
            </w:tblGrid>
            <w:tr w:rsidR="00944839" w:rsidRPr="004C48F1" w14:paraId="274670A5" w14:textId="77777777" w:rsidTr="00EA4FFB">
              <w:trPr>
                <w:tblHeader/>
              </w:trPr>
              <w:tc>
                <w:tcPr>
                  <w:tcW w:w="667" w:type="pct"/>
                  <w:tcBorders>
                    <w:top w:val="single" w:sz="6" w:space="0" w:color="BFBFBF"/>
                    <w:bottom w:val="single" w:sz="6" w:space="0" w:color="BFBFBF"/>
                  </w:tcBorders>
                  <w:shd w:val="clear" w:color="auto" w:fill="auto"/>
                  <w:tcMar>
                    <w:top w:w="28" w:type="dxa"/>
                  </w:tcMar>
                </w:tcPr>
                <w:p w14:paraId="66043D4F" w14:textId="77777777" w:rsidR="00944839" w:rsidRPr="004C48F1" w:rsidRDefault="00944839" w:rsidP="00845342">
                  <w:pPr>
                    <w:pStyle w:val="TableColumnHeading"/>
                    <w:jc w:val="left"/>
                  </w:pPr>
                  <w:r w:rsidRPr="004C48F1">
                    <w:t>Jurisdiction</w:t>
                  </w:r>
                </w:p>
              </w:tc>
              <w:tc>
                <w:tcPr>
                  <w:tcW w:w="4333" w:type="pct"/>
                  <w:tcBorders>
                    <w:top w:val="single" w:sz="6" w:space="0" w:color="BFBFBF"/>
                    <w:bottom w:val="single" w:sz="6" w:space="0" w:color="BFBFBF"/>
                  </w:tcBorders>
                </w:tcPr>
                <w:p w14:paraId="2651B2D6" w14:textId="2DA87DEA" w:rsidR="00944839" w:rsidRPr="004C48F1" w:rsidRDefault="00944839" w:rsidP="0030789B">
                  <w:pPr>
                    <w:pStyle w:val="TableColumnHeading"/>
                    <w:ind w:right="28"/>
                    <w:jc w:val="left"/>
                  </w:pPr>
                  <w:r w:rsidRPr="004C48F1">
                    <w:t>Program</w:t>
                  </w:r>
                </w:p>
              </w:tc>
            </w:tr>
            <w:tr w:rsidR="00944839" w:rsidRPr="004C48F1" w14:paraId="22E7E2F2" w14:textId="77777777" w:rsidTr="0045105D">
              <w:tc>
                <w:tcPr>
                  <w:tcW w:w="667" w:type="pct"/>
                  <w:tcBorders>
                    <w:top w:val="single" w:sz="6" w:space="0" w:color="BFBFBF"/>
                  </w:tcBorders>
                  <w:shd w:val="clear" w:color="auto" w:fill="FFFFFF" w:themeFill="background1"/>
                </w:tcPr>
                <w:p w14:paraId="545C268F" w14:textId="5678189C" w:rsidR="00944839" w:rsidRPr="004C48F1" w:rsidRDefault="00944839" w:rsidP="00845342">
                  <w:pPr>
                    <w:pStyle w:val="TableUnitsRow"/>
                    <w:jc w:val="left"/>
                  </w:pPr>
                  <w:r w:rsidRPr="004C48F1">
                    <w:t>NSW</w:t>
                  </w:r>
                </w:p>
              </w:tc>
              <w:tc>
                <w:tcPr>
                  <w:tcW w:w="4333" w:type="pct"/>
                  <w:tcBorders>
                    <w:top w:val="single" w:sz="6" w:space="0" w:color="BFBFBF"/>
                  </w:tcBorders>
                  <w:shd w:val="clear" w:color="auto" w:fill="auto"/>
                </w:tcPr>
                <w:p w14:paraId="48849F81" w14:textId="78807FD0" w:rsidR="00944839" w:rsidRPr="004C48F1" w:rsidRDefault="0089490A" w:rsidP="0030789B">
                  <w:pPr>
                    <w:pStyle w:val="TableUnitsRow"/>
                    <w:ind w:right="28"/>
                    <w:jc w:val="both"/>
                  </w:pPr>
                  <w:r w:rsidRPr="004C48F1">
                    <w:t xml:space="preserve">All dwellings under management of a community housing organisation </w:t>
                  </w:r>
                  <w:r w:rsidR="00E60CC8" w:rsidRPr="004C48F1">
                    <w:t xml:space="preserve">(CHO) </w:t>
                  </w:r>
                  <w:r w:rsidRPr="004C48F1">
                    <w:t>where:</w:t>
                  </w:r>
                </w:p>
              </w:tc>
            </w:tr>
            <w:tr w:rsidR="00944839" w:rsidRPr="004C48F1" w14:paraId="49404BF2" w14:textId="77777777" w:rsidTr="0045105D">
              <w:tc>
                <w:tcPr>
                  <w:tcW w:w="667" w:type="pct"/>
                </w:tcPr>
                <w:p w14:paraId="34FA118A" w14:textId="77777777" w:rsidR="00944839" w:rsidRPr="004C48F1" w:rsidRDefault="00944839" w:rsidP="00845342">
                  <w:pPr>
                    <w:pStyle w:val="TableBodyText"/>
                    <w:jc w:val="left"/>
                  </w:pPr>
                </w:p>
              </w:tc>
              <w:tc>
                <w:tcPr>
                  <w:tcW w:w="4333" w:type="pct"/>
                  <w:shd w:val="clear" w:color="auto" w:fill="auto"/>
                </w:tcPr>
                <w:p w14:paraId="48AA5309" w14:textId="283A1413" w:rsidR="00944839" w:rsidRPr="004C48F1" w:rsidRDefault="003323EC" w:rsidP="00E60CC8">
                  <w:pPr>
                    <w:pStyle w:val="TableBullet"/>
                  </w:pPr>
                  <w:r w:rsidRPr="004C48F1">
                    <w:t xml:space="preserve">the tenancy management is commissioned by the NSW </w:t>
                  </w:r>
                  <w:r w:rsidR="00E60CC8" w:rsidRPr="004C48F1">
                    <w:rPr>
                      <w:rFonts w:asciiTheme="minorHAnsi" w:hAnsiTheme="minorHAnsi" w:cstheme="minorHAnsi"/>
                      <w:sz w:val="20"/>
                    </w:rPr>
                    <w:t xml:space="preserve">Department of </w:t>
                  </w:r>
                  <w:r w:rsidR="001C0B07" w:rsidRPr="004C48F1">
                    <w:t xml:space="preserve">Community </w:t>
                  </w:r>
                  <w:r w:rsidR="00E60CC8" w:rsidRPr="004C48F1">
                    <w:rPr>
                      <w:rFonts w:asciiTheme="minorHAnsi" w:hAnsiTheme="minorHAnsi" w:cstheme="minorHAnsi"/>
                      <w:sz w:val="20"/>
                    </w:rPr>
                    <w:t xml:space="preserve">and Justice (DCJ) </w:t>
                  </w:r>
                  <w:r w:rsidRPr="004C48F1">
                    <w:t>Commissioning Division.</w:t>
                  </w:r>
                </w:p>
              </w:tc>
            </w:tr>
            <w:tr w:rsidR="00944839" w:rsidRPr="004C48F1" w14:paraId="57A48B9C" w14:textId="77777777" w:rsidTr="0045105D">
              <w:tc>
                <w:tcPr>
                  <w:tcW w:w="667" w:type="pct"/>
                  <w:shd w:val="clear" w:color="auto" w:fill="auto"/>
                </w:tcPr>
                <w:p w14:paraId="42AE6E49" w14:textId="77777777" w:rsidR="00944839" w:rsidRPr="004C48F1" w:rsidRDefault="00944839" w:rsidP="00845342">
                  <w:pPr>
                    <w:pStyle w:val="TableBodyText"/>
                    <w:jc w:val="left"/>
                  </w:pPr>
                </w:p>
              </w:tc>
              <w:tc>
                <w:tcPr>
                  <w:tcW w:w="4333" w:type="pct"/>
                  <w:shd w:val="clear" w:color="auto" w:fill="auto"/>
                </w:tcPr>
                <w:p w14:paraId="5EE022D1" w14:textId="04A26837" w:rsidR="00944839" w:rsidRPr="004C48F1" w:rsidRDefault="003323EC" w:rsidP="0030789B">
                  <w:pPr>
                    <w:pStyle w:val="TableBodyText"/>
                    <w:ind w:right="28"/>
                    <w:jc w:val="both"/>
                  </w:pPr>
                  <w:r w:rsidRPr="004C48F1">
                    <w:t>This includes the following housing assistance types:</w:t>
                  </w:r>
                </w:p>
              </w:tc>
            </w:tr>
            <w:tr w:rsidR="00944839" w:rsidRPr="004C48F1" w14:paraId="2E27C826" w14:textId="77777777" w:rsidTr="0045105D">
              <w:tc>
                <w:tcPr>
                  <w:tcW w:w="667" w:type="pct"/>
                  <w:shd w:val="clear" w:color="auto" w:fill="auto"/>
                </w:tcPr>
                <w:p w14:paraId="5841AB9B" w14:textId="77777777" w:rsidR="00944839" w:rsidRPr="004C48F1" w:rsidRDefault="00944839" w:rsidP="00944839">
                  <w:pPr>
                    <w:pStyle w:val="TableBodyText"/>
                    <w:jc w:val="left"/>
                  </w:pPr>
                </w:p>
              </w:tc>
              <w:tc>
                <w:tcPr>
                  <w:tcW w:w="4333" w:type="pct"/>
                  <w:shd w:val="clear" w:color="auto" w:fill="auto"/>
                </w:tcPr>
                <w:p w14:paraId="6A61347E" w14:textId="30A2869E" w:rsidR="00944839" w:rsidRPr="004C48F1" w:rsidRDefault="003323EC" w:rsidP="002E57CE">
                  <w:pPr>
                    <w:pStyle w:val="TableBullet"/>
                  </w:pPr>
                  <w:r w:rsidRPr="004C48F1">
                    <w:t>Affordable Housing</w:t>
                  </w:r>
                </w:p>
              </w:tc>
            </w:tr>
            <w:tr w:rsidR="00944839" w:rsidRPr="004C48F1" w14:paraId="14527F5E" w14:textId="77777777" w:rsidTr="0045105D">
              <w:tc>
                <w:tcPr>
                  <w:tcW w:w="667" w:type="pct"/>
                  <w:shd w:val="clear" w:color="auto" w:fill="auto"/>
                </w:tcPr>
                <w:p w14:paraId="473635BE" w14:textId="77777777" w:rsidR="00944839" w:rsidRPr="004C48F1" w:rsidRDefault="00944839" w:rsidP="00944839">
                  <w:pPr>
                    <w:pStyle w:val="TableBodyText"/>
                    <w:jc w:val="left"/>
                  </w:pPr>
                </w:p>
              </w:tc>
              <w:tc>
                <w:tcPr>
                  <w:tcW w:w="4333" w:type="pct"/>
                  <w:shd w:val="clear" w:color="auto" w:fill="auto"/>
                </w:tcPr>
                <w:p w14:paraId="05B88EFF" w14:textId="26A231C4" w:rsidR="00944839" w:rsidRPr="004C48F1" w:rsidRDefault="003323EC" w:rsidP="002E57CE">
                  <w:pPr>
                    <w:pStyle w:val="TableBullet"/>
                  </w:pPr>
                  <w:r w:rsidRPr="004C48F1">
                    <w:t>General Social Housing (mainstream long</w:t>
                  </w:r>
                  <w:r w:rsidR="00C47BFD" w:rsidRPr="004C48F1">
                    <w:noBreakHyphen/>
                  </w:r>
                  <w:r w:rsidRPr="004C48F1">
                    <w:t>term housing)</w:t>
                  </w:r>
                </w:p>
              </w:tc>
            </w:tr>
            <w:tr w:rsidR="00944839" w:rsidRPr="004C48F1" w14:paraId="07B57B23" w14:textId="77777777" w:rsidTr="0045105D">
              <w:tc>
                <w:tcPr>
                  <w:tcW w:w="667" w:type="pct"/>
                  <w:shd w:val="clear" w:color="auto" w:fill="auto"/>
                </w:tcPr>
                <w:p w14:paraId="71FDEAFB" w14:textId="77777777" w:rsidR="00944839" w:rsidRPr="004C48F1" w:rsidRDefault="00944839" w:rsidP="00944839">
                  <w:pPr>
                    <w:pStyle w:val="TableBodyText"/>
                    <w:jc w:val="left"/>
                  </w:pPr>
                </w:p>
              </w:tc>
              <w:tc>
                <w:tcPr>
                  <w:tcW w:w="4333" w:type="pct"/>
                  <w:shd w:val="clear" w:color="auto" w:fill="auto"/>
                </w:tcPr>
                <w:p w14:paraId="352C834A" w14:textId="6DE8F45F" w:rsidR="00944839" w:rsidRPr="004C48F1" w:rsidRDefault="003323EC" w:rsidP="002E57CE">
                  <w:pPr>
                    <w:pStyle w:val="TableBullet"/>
                  </w:pPr>
                  <w:r w:rsidRPr="004C48F1">
                    <w:t>Transitional housing (medium</w:t>
                  </w:r>
                  <w:r w:rsidR="00C47BFD" w:rsidRPr="004C48F1">
                    <w:noBreakHyphen/>
                  </w:r>
                  <w:r w:rsidRPr="004C48F1">
                    <w:t>term housing).</w:t>
                  </w:r>
                </w:p>
              </w:tc>
            </w:tr>
            <w:tr w:rsidR="00944839" w:rsidRPr="004C48F1" w14:paraId="694E368A" w14:textId="77777777" w:rsidTr="0045105D">
              <w:tc>
                <w:tcPr>
                  <w:tcW w:w="667" w:type="pct"/>
                  <w:shd w:val="clear" w:color="auto" w:fill="auto"/>
                </w:tcPr>
                <w:p w14:paraId="5ABA924A" w14:textId="77777777" w:rsidR="00944839" w:rsidRPr="004C48F1" w:rsidRDefault="00944839" w:rsidP="00845342">
                  <w:pPr>
                    <w:pStyle w:val="TableBodyText"/>
                    <w:jc w:val="left"/>
                  </w:pPr>
                </w:p>
              </w:tc>
              <w:tc>
                <w:tcPr>
                  <w:tcW w:w="4333" w:type="pct"/>
                  <w:shd w:val="clear" w:color="auto" w:fill="auto"/>
                </w:tcPr>
                <w:p w14:paraId="428AFE65" w14:textId="2F49C219" w:rsidR="00944839" w:rsidRPr="004C48F1" w:rsidRDefault="003323EC" w:rsidP="0030789B">
                  <w:pPr>
                    <w:pStyle w:val="TableBodyText"/>
                    <w:ind w:right="28"/>
                    <w:jc w:val="both"/>
                    <w:rPr>
                      <w:szCs w:val="18"/>
                    </w:rPr>
                  </w:pPr>
                  <w:r w:rsidRPr="004C48F1">
                    <w:rPr>
                      <w:szCs w:val="18"/>
                    </w:rPr>
                    <w:t>This includes the following housing property sources:</w:t>
                  </w:r>
                </w:p>
              </w:tc>
            </w:tr>
            <w:tr w:rsidR="00944839" w:rsidRPr="004C48F1" w14:paraId="2F14A7E4" w14:textId="77777777" w:rsidTr="0045105D">
              <w:tc>
                <w:tcPr>
                  <w:tcW w:w="667" w:type="pct"/>
                  <w:shd w:val="clear" w:color="auto" w:fill="auto"/>
                </w:tcPr>
                <w:p w14:paraId="788F41C4" w14:textId="77777777" w:rsidR="00944839" w:rsidRPr="004C48F1" w:rsidRDefault="00944839" w:rsidP="00944839">
                  <w:pPr>
                    <w:pStyle w:val="TableBodyText"/>
                    <w:jc w:val="left"/>
                  </w:pPr>
                </w:p>
              </w:tc>
              <w:tc>
                <w:tcPr>
                  <w:tcW w:w="4333" w:type="pct"/>
                  <w:shd w:val="clear" w:color="auto" w:fill="auto"/>
                </w:tcPr>
                <w:p w14:paraId="2ADB0327" w14:textId="548B5228" w:rsidR="00944839" w:rsidRPr="004C48F1" w:rsidRDefault="003323EC" w:rsidP="002E57CE">
                  <w:pPr>
                    <w:pStyle w:val="TableBullet"/>
                  </w:pPr>
                  <w:r w:rsidRPr="004C48F1">
                    <w:t>State owned and CHO managed dwellings (including stock transfers);</w:t>
                  </w:r>
                </w:p>
              </w:tc>
            </w:tr>
            <w:tr w:rsidR="00944839" w:rsidRPr="004C48F1" w14:paraId="0372808F" w14:textId="77777777" w:rsidTr="0045105D">
              <w:tc>
                <w:tcPr>
                  <w:tcW w:w="667" w:type="pct"/>
                  <w:shd w:val="clear" w:color="auto" w:fill="auto"/>
                </w:tcPr>
                <w:p w14:paraId="33B19C89" w14:textId="77777777" w:rsidR="00944839" w:rsidRPr="004C48F1" w:rsidRDefault="00944839" w:rsidP="00944839">
                  <w:pPr>
                    <w:pStyle w:val="TableBodyText"/>
                    <w:jc w:val="left"/>
                  </w:pPr>
                </w:p>
              </w:tc>
              <w:tc>
                <w:tcPr>
                  <w:tcW w:w="4333" w:type="pct"/>
                  <w:shd w:val="clear" w:color="auto" w:fill="auto"/>
                </w:tcPr>
                <w:p w14:paraId="3FCF0152" w14:textId="2635EB0A" w:rsidR="00944839" w:rsidRPr="004C48F1" w:rsidRDefault="003323EC" w:rsidP="002E57CE">
                  <w:pPr>
                    <w:pStyle w:val="TableBullet"/>
                  </w:pPr>
                  <w:r w:rsidRPr="004C48F1">
                    <w:t>Privately owned dwellings leased by the CHO attracting a state subsidy;</w:t>
                  </w:r>
                </w:p>
              </w:tc>
            </w:tr>
            <w:tr w:rsidR="00944839" w:rsidRPr="004C48F1" w14:paraId="54857557" w14:textId="77777777" w:rsidTr="0045105D">
              <w:tc>
                <w:tcPr>
                  <w:tcW w:w="667" w:type="pct"/>
                  <w:shd w:val="clear" w:color="auto" w:fill="auto"/>
                </w:tcPr>
                <w:p w14:paraId="6255581B" w14:textId="77777777" w:rsidR="00944839" w:rsidRPr="004C48F1" w:rsidRDefault="00944839" w:rsidP="00845342">
                  <w:pPr>
                    <w:pStyle w:val="TableBodyText"/>
                    <w:jc w:val="left"/>
                  </w:pPr>
                </w:p>
              </w:tc>
              <w:tc>
                <w:tcPr>
                  <w:tcW w:w="4333" w:type="pct"/>
                  <w:shd w:val="clear" w:color="auto" w:fill="auto"/>
                </w:tcPr>
                <w:p w14:paraId="7F21F373" w14:textId="0550081D" w:rsidR="00944839" w:rsidRPr="004C48F1" w:rsidRDefault="003323EC" w:rsidP="00E60CC8">
                  <w:pPr>
                    <w:pStyle w:val="TableBullet"/>
                  </w:pPr>
                  <w:r w:rsidRPr="004C48F1">
                    <w:t>Dwellings owned by the CHO where vested to the CHO by the state, acquired through leveraging those vested assets or are part of the Natio</w:t>
                  </w:r>
                  <w:r w:rsidR="00E60CC8" w:rsidRPr="004C48F1">
                    <w:t>nal Rental Affordability Scheme</w:t>
                  </w:r>
                </w:p>
              </w:tc>
            </w:tr>
            <w:tr w:rsidR="00944839" w:rsidRPr="004C48F1" w14:paraId="1A03477E" w14:textId="77777777" w:rsidTr="0045105D">
              <w:tc>
                <w:tcPr>
                  <w:tcW w:w="667" w:type="pct"/>
                  <w:shd w:val="clear" w:color="auto" w:fill="auto"/>
                </w:tcPr>
                <w:p w14:paraId="1EF38078" w14:textId="77777777" w:rsidR="00944839" w:rsidRPr="004C48F1" w:rsidRDefault="00944839" w:rsidP="00845342">
                  <w:pPr>
                    <w:pStyle w:val="TableBodyText"/>
                    <w:jc w:val="left"/>
                  </w:pPr>
                </w:p>
              </w:tc>
              <w:tc>
                <w:tcPr>
                  <w:tcW w:w="4333" w:type="pct"/>
                  <w:shd w:val="clear" w:color="auto" w:fill="auto"/>
                </w:tcPr>
                <w:p w14:paraId="7E944AB7" w14:textId="35BF4C85" w:rsidR="00944839" w:rsidRPr="004C48F1" w:rsidRDefault="003323EC" w:rsidP="00E60CC8">
                  <w:pPr>
                    <w:pStyle w:val="TableBullet"/>
                  </w:pPr>
                  <w:r w:rsidRPr="004C48F1">
                    <w:t>Dwellings commissioned on a fee</w:t>
                  </w:r>
                  <w:r w:rsidR="00C47BFD" w:rsidRPr="004C48F1">
                    <w:noBreakHyphen/>
                  </w:r>
                  <w:r w:rsidRPr="004C48F1">
                    <w:t>for</w:t>
                  </w:r>
                  <w:r w:rsidR="00C47BFD" w:rsidRPr="004C48F1">
                    <w:noBreakHyphen/>
                  </w:r>
                  <w:r w:rsidRPr="004C48F1">
                    <w:t xml:space="preserve">service basis by NSW </w:t>
                  </w:r>
                  <w:r w:rsidR="00E60CC8" w:rsidRPr="004C48F1">
                    <w:rPr>
                      <w:rFonts w:asciiTheme="minorHAnsi" w:hAnsiTheme="minorHAnsi" w:cstheme="minorHAnsi"/>
                      <w:sz w:val="20"/>
                    </w:rPr>
                    <w:t xml:space="preserve">DCJ </w:t>
                  </w:r>
                  <w:r w:rsidRPr="004C48F1">
                    <w:t>using the Social and Affordable Housing Fund.</w:t>
                  </w:r>
                </w:p>
              </w:tc>
            </w:tr>
            <w:tr w:rsidR="00944839" w:rsidRPr="004C48F1" w14:paraId="44AE007B" w14:textId="77777777" w:rsidTr="0045105D">
              <w:tc>
                <w:tcPr>
                  <w:tcW w:w="667" w:type="pct"/>
                  <w:shd w:val="clear" w:color="auto" w:fill="auto"/>
                </w:tcPr>
                <w:p w14:paraId="6FB4A085" w14:textId="77777777" w:rsidR="00944839" w:rsidRPr="004C48F1" w:rsidRDefault="00944839" w:rsidP="00845342">
                  <w:pPr>
                    <w:pStyle w:val="TableBodyText"/>
                    <w:jc w:val="left"/>
                  </w:pPr>
                </w:p>
              </w:tc>
              <w:tc>
                <w:tcPr>
                  <w:tcW w:w="4333" w:type="pct"/>
                  <w:shd w:val="clear" w:color="auto" w:fill="auto"/>
                </w:tcPr>
                <w:p w14:paraId="7F7EF5F0" w14:textId="01A8D0BF" w:rsidR="00944839" w:rsidRPr="004C48F1" w:rsidRDefault="003323EC" w:rsidP="0030789B">
                  <w:pPr>
                    <w:pStyle w:val="TableBodyText"/>
                    <w:ind w:right="28"/>
                    <w:jc w:val="both"/>
                    <w:rPr>
                      <w:szCs w:val="18"/>
                    </w:rPr>
                  </w:pPr>
                  <w:r w:rsidRPr="004C48F1">
                    <w:rPr>
                      <w:i/>
                      <w:szCs w:val="18"/>
                    </w:rPr>
                    <w:t>Note</w:t>
                  </w:r>
                  <w:r w:rsidRPr="004C48F1">
                    <w:rPr>
                      <w:szCs w:val="18"/>
                    </w:rPr>
                    <w:t>: Assistance type and property source are independent of each other and numerous combinations of the two apply.</w:t>
                  </w:r>
                </w:p>
              </w:tc>
            </w:tr>
            <w:tr w:rsidR="00944839" w:rsidRPr="004C48F1" w14:paraId="6C3D860D" w14:textId="77777777" w:rsidTr="00EA4FFB">
              <w:tc>
                <w:tcPr>
                  <w:tcW w:w="667" w:type="pct"/>
                  <w:shd w:val="clear" w:color="auto" w:fill="auto"/>
                </w:tcPr>
                <w:p w14:paraId="70807F8B" w14:textId="7971396E" w:rsidR="00944839" w:rsidRPr="004C48F1" w:rsidRDefault="00944839" w:rsidP="00845342">
                  <w:pPr>
                    <w:pStyle w:val="TableBodyText"/>
                    <w:jc w:val="left"/>
                  </w:pPr>
                  <w:r w:rsidRPr="004C48F1">
                    <w:t>Victoria</w:t>
                  </w:r>
                </w:p>
              </w:tc>
              <w:tc>
                <w:tcPr>
                  <w:tcW w:w="4333" w:type="pct"/>
                </w:tcPr>
                <w:p w14:paraId="0CA9E186" w14:textId="311D300B" w:rsidR="00944839" w:rsidRPr="004C48F1" w:rsidRDefault="00944839" w:rsidP="0030789B">
                  <w:pPr>
                    <w:pStyle w:val="TableBodyText"/>
                    <w:ind w:right="28"/>
                    <w:jc w:val="both"/>
                    <w:rPr>
                      <w:szCs w:val="18"/>
                    </w:rPr>
                  </w:pPr>
                  <w:r w:rsidRPr="004C48F1">
                    <w:rPr>
                      <w:szCs w:val="18"/>
                    </w:rPr>
                    <w:t>Dwellings leased for the provision of community housing (head</w:t>
                  </w:r>
                  <w:r w:rsidR="00C47BFD" w:rsidRPr="004C48F1">
                    <w:rPr>
                      <w:szCs w:val="18"/>
                    </w:rPr>
                    <w:noBreakHyphen/>
                  </w:r>
                  <w:r w:rsidRPr="004C48F1">
                    <w:rPr>
                      <w:szCs w:val="18"/>
                    </w:rPr>
                    <w:t>leasing) provided the tenancy management function is undertaken by a community provider</w:t>
                  </w:r>
                </w:p>
              </w:tc>
            </w:tr>
            <w:tr w:rsidR="00944839" w:rsidRPr="004C48F1" w14:paraId="5ABBC71D" w14:textId="77777777" w:rsidTr="00EA4FFB">
              <w:tc>
                <w:tcPr>
                  <w:tcW w:w="667" w:type="pct"/>
                  <w:shd w:val="clear" w:color="auto" w:fill="auto"/>
                </w:tcPr>
                <w:p w14:paraId="228F2331" w14:textId="77777777" w:rsidR="00944839" w:rsidRPr="004C48F1" w:rsidRDefault="00944839" w:rsidP="00845342">
                  <w:pPr>
                    <w:pStyle w:val="TableBodyText"/>
                    <w:jc w:val="left"/>
                  </w:pPr>
                </w:p>
              </w:tc>
              <w:tc>
                <w:tcPr>
                  <w:tcW w:w="4333" w:type="pct"/>
                </w:tcPr>
                <w:p w14:paraId="6845D9A7" w14:textId="23623DCF" w:rsidR="00944839" w:rsidRPr="004C48F1" w:rsidRDefault="00944839" w:rsidP="0030789B">
                  <w:pPr>
                    <w:pStyle w:val="TableBodyText"/>
                    <w:ind w:right="28"/>
                    <w:jc w:val="both"/>
                  </w:pPr>
                  <w:r w:rsidRPr="004C48F1">
                    <w:t>Dwellings bought by the State Housing/Community Housing Authority but managed by a community housing provider or local government</w:t>
                  </w:r>
                </w:p>
              </w:tc>
            </w:tr>
            <w:tr w:rsidR="00944839" w:rsidRPr="004C48F1" w14:paraId="366B9D8A" w14:textId="77777777" w:rsidTr="00EA4FFB">
              <w:tc>
                <w:tcPr>
                  <w:tcW w:w="667" w:type="pct"/>
                  <w:shd w:val="clear" w:color="auto" w:fill="auto"/>
                </w:tcPr>
                <w:p w14:paraId="11EAE83A" w14:textId="77777777" w:rsidR="00944839" w:rsidRPr="004C48F1" w:rsidRDefault="00944839" w:rsidP="00845342">
                  <w:pPr>
                    <w:pStyle w:val="TableBodyText"/>
                    <w:jc w:val="left"/>
                  </w:pPr>
                </w:p>
              </w:tc>
              <w:tc>
                <w:tcPr>
                  <w:tcW w:w="4333" w:type="pct"/>
                </w:tcPr>
                <w:p w14:paraId="7BDBB2E9" w14:textId="63F9EF9D" w:rsidR="00944839" w:rsidRPr="004C48F1" w:rsidRDefault="00944839" w:rsidP="00BE7270">
                  <w:pPr>
                    <w:pStyle w:val="TableBodyText"/>
                    <w:ind w:right="28"/>
                    <w:jc w:val="both"/>
                  </w:pPr>
                  <w:r w:rsidRPr="004C48F1">
                    <w:t>Joint ventures</w:t>
                  </w:r>
                </w:p>
              </w:tc>
            </w:tr>
            <w:tr w:rsidR="00944839" w:rsidRPr="004C48F1" w14:paraId="3A466D40" w14:textId="77777777" w:rsidTr="00EA4FFB">
              <w:tc>
                <w:tcPr>
                  <w:tcW w:w="667" w:type="pct"/>
                  <w:shd w:val="clear" w:color="auto" w:fill="auto"/>
                </w:tcPr>
                <w:p w14:paraId="59878B93" w14:textId="77777777" w:rsidR="00944839" w:rsidRPr="004C48F1" w:rsidRDefault="00944839" w:rsidP="00845342">
                  <w:pPr>
                    <w:pStyle w:val="TableBodyText"/>
                    <w:jc w:val="left"/>
                  </w:pPr>
                </w:p>
              </w:tc>
              <w:tc>
                <w:tcPr>
                  <w:tcW w:w="4333" w:type="pct"/>
                </w:tcPr>
                <w:p w14:paraId="40027B71" w14:textId="4744CE16" w:rsidR="00944839" w:rsidRPr="004C48F1" w:rsidRDefault="00944839" w:rsidP="001C0B07">
                  <w:pPr>
                    <w:pStyle w:val="TableBodyText"/>
                    <w:ind w:right="28"/>
                    <w:jc w:val="both"/>
                  </w:pPr>
                  <w:r w:rsidRPr="004C48F1">
                    <w:t>New dwellings constructed under the National Rental Affordability Scheme</w:t>
                  </w:r>
                </w:p>
              </w:tc>
            </w:tr>
            <w:tr w:rsidR="00944839" w:rsidRPr="004C48F1" w14:paraId="1E8A155F" w14:textId="77777777" w:rsidTr="00EA4FFB">
              <w:tc>
                <w:tcPr>
                  <w:tcW w:w="667" w:type="pct"/>
                  <w:shd w:val="clear" w:color="auto" w:fill="auto"/>
                </w:tcPr>
                <w:p w14:paraId="7C7C4D93" w14:textId="73EC7FF2" w:rsidR="00944839" w:rsidRPr="004C48F1" w:rsidRDefault="00944839" w:rsidP="00845342">
                  <w:pPr>
                    <w:pStyle w:val="TableBodyText"/>
                    <w:jc w:val="left"/>
                  </w:pPr>
                </w:p>
              </w:tc>
              <w:tc>
                <w:tcPr>
                  <w:tcW w:w="4333" w:type="pct"/>
                </w:tcPr>
                <w:p w14:paraId="47B8FB36" w14:textId="11C2A321" w:rsidR="00944839" w:rsidRPr="004C48F1" w:rsidRDefault="00944839" w:rsidP="0030789B">
                  <w:pPr>
                    <w:pStyle w:val="TableBodyText"/>
                    <w:ind w:right="28"/>
                    <w:jc w:val="both"/>
                    <w:rPr>
                      <w:szCs w:val="18"/>
                    </w:rPr>
                  </w:pPr>
                  <w:r w:rsidRPr="004C48F1">
                    <w:rPr>
                      <w:szCs w:val="18"/>
                    </w:rPr>
                    <w:t>Dwellings used for the provision of community housing which the State Housing Authority has an interest in</w:t>
                  </w:r>
                  <w:r w:rsidR="00E75F92" w:rsidRPr="004C48F1">
                    <w:rPr>
                      <w:szCs w:val="18"/>
                    </w:rPr>
                    <w:t>.</w:t>
                  </w:r>
                </w:p>
              </w:tc>
            </w:tr>
            <w:tr w:rsidR="00944839" w:rsidRPr="004C48F1" w14:paraId="2C8BE7E1" w14:textId="77777777" w:rsidTr="00EA4FFB">
              <w:tc>
                <w:tcPr>
                  <w:tcW w:w="667" w:type="pct"/>
                  <w:shd w:val="clear" w:color="auto" w:fill="auto"/>
                </w:tcPr>
                <w:p w14:paraId="32628D51" w14:textId="74C7C803" w:rsidR="00944839" w:rsidRPr="004C48F1" w:rsidRDefault="00825CAD" w:rsidP="00845342">
                  <w:pPr>
                    <w:pStyle w:val="TableBodyText"/>
                    <w:jc w:val="left"/>
                  </w:pPr>
                  <w:r w:rsidRPr="004C48F1">
                    <w:t>Queensland</w:t>
                  </w:r>
                </w:p>
              </w:tc>
              <w:tc>
                <w:tcPr>
                  <w:tcW w:w="4333" w:type="pct"/>
                </w:tcPr>
                <w:p w14:paraId="09D431EC" w14:textId="184515A3" w:rsidR="00944839" w:rsidRPr="004C48F1" w:rsidRDefault="00944839" w:rsidP="001C0B07">
                  <w:pPr>
                    <w:pStyle w:val="TableBodyText"/>
                    <w:ind w:right="28"/>
                    <w:jc w:val="both"/>
                  </w:pPr>
                  <w:r w:rsidRPr="004C48F1">
                    <w:t>Boarding House Program (Community Managed Studio Units)</w:t>
                  </w:r>
                </w:p>
              </w:tc>
            </w:tr>
            <w:tr w:rsidR="00D8142E" w:rsidRPr="004C48F1" w14:paraId="4C642844" w14:textId="77777777" w:rsidTr="00EA4FFB">
              <w:tc>
                <w:tcPr>
                  <w:tcW w:w="667" w:type="pct"/>
                  <w:shd w:val="clear" w:color="auto" w:fill="auto"/>
                </w:tcPr>
                <w:p w14:paraId="35B9E38E" w14:textId="77777777" w:rsidR="00D8142E" w:rsidRPr="004C48F1" w:rsidRDefault="00D8142E" w:rsidP="00845342">
                  <w:pPr>
                    <w:pStyle w:val="TableBodyText"/>
                    <w:jc w:val="left"/>
                  </w:pPr>
                </w:p>
              </w:tc>
              <w:tc>
                <w:tcPr>
                  <w:tcW w:w="4333" w:type="pct"/>
                </w:tcPr>
                <w:p w14:paraId="375B80AC" w14:textId="59A0D395" w:rsidR="00D8142E" w:rsidRPr="004C48F1" w:rsidRDefault="00D8142E" w:rsidP="0030789B">
                  <w:pPr>
                    <w:pStyle w:val="TableBodyText"/>
                    <w:ind w:right="28"/>
                    <w:jc w:val="both"/>
                  </w:pPr>
                  <w:r w:rsidRPr="004C48F1">
                    <w:t>Community Rent Scheme</w:t>
                  </w:r>
                </w:p>
              </w:tc>
            </w:tr>
            <w:tr w:rsidR="00944839" w:rsidRPr="004C48F1" w14:paraId="52792CD0" w14:textId="77777777" w:rsidTr="00EA4FFB">
              <w:tc>
                <w:tcPr>
                  <w:tcW w:w="667" w:type="pct"/>
                  <w:shd w:val="clear" w:color="auto" w:fill="auto"/>
                </w:tcPr>
                <w:p w14:paraId="0E4B5E9C" w14:textId="77777777" w:rsidR="00944839" w:rsidRPr="004C48F1" w:rsidRDefault="00944839" w:rsidP="00845342">
                  <w:pPr>
                    <w:pStyle w:val="TableBodyText"/>
                    <w:jc w:val="left"/>
                  </w:pPr>
                </w:p>
              </w:tc>
              <w:tc>
                <w:tcPr>
                  <w:tcW w:w="4333" w:type="pct"/>
                </w:tcPr>
                <w:p w14:paraId="7C793F2A" w14:textId="249407D8" w:rsidR="00944839" w:rsidRPr="004C48F1" w:rsidRDefault="00944839" w:rsidP="0030789B">
                  <w:pPr>
                    <w:pStyle w:val="TableBodyText"/>
                    <w:ind w:right="28"/>
                    <w:jc w:val="both"/>
                  </w:pPr>
                  <w:r w:rsidRPr="004C48F1">
                    <w:t>Long Term Community Housing Program</w:t>
                  </w:r>
                </w:p>
              </w:tc>
            </w:tr>
            <w:tr w:rsidR="00944839" w:rsidRPr="004C48F1" w14:paraId="17D0D956" w14:textId="77777777" w:rsidTr="00EA4FFB">
              <w:tc>
                <w:tcPr>
                  <w:tcW w:w="667" w:type="pct"/>
                  <w:shd w:val="clear" w:color="auto" w:fill="auto"/>
                </w:tcPr>
                <w:p w14:paraId="0DB8F976" w14:textId="77777777" w:rsidR="00944839" w:rsidRPr="004C48F1" w:rsidRDefault="00944839" w:rsidP="00845342">
                  <w:pPr>
                    <w:pStyle w:val="TableBodyText"/>
                    <w:jc w:val="left"/>
                  </w:pPr>
                </w:p>
              </w:tc>
              <w:tc>
                <w:tcPr>
                  <w:tcW w:w="4333" w:type="pct"/>
                </w:tcPr>
                <w:p w14:paraId="0C46EBCD" w14:textId="40AEFE37" w:rsidR="00944839" w:rsidRPr="004C48F1" w:rsidRDefault="00944839" w:rsidP="0030789B">
                  <w:pPr>
                    <w:pStyle w:val="TableBodyText"/>
                    <w:ind w:right="28"/>
                    <w:jc w:val="both"/>
                    <w:rPr>
                      <w:szCs w:val="18"/>
                    </w:rPr>
                  </w:pPr>
                  <w:r w:rsidRPr="004C48F1">
                    <w:rPr>
                      <w:szCs w:val="18"/>
                    </w:rPr>
                    <w:t>Affordable Housing Program</w:t>
                  </w:r>
                </w:p>
              </w:tc>
            </w:tr>
            <w:tr w:rsidR="00944839" w:rsidRPr="004C48F1" w14:paraId="0F543148" w14:textId="77777777" w:rsidTr="00EA4FFB">
              <w:tc>
                <w:tcPr>
                  <w:tcW w:w="667" w:type="pct"/>
                  <w:shd w:val="clear" w:color="auto" w:fill="auto"/>
                </w:tcPr>
                <w:p w14:paraId="422E851E" w14:textId="77777777" w:rsidR="00944839" w:rsidRPr="004C48F1" w:rsidRDefault="00944839" w:rsidP="00845342">
                  <w:pPr>
                    <w:pStyle w:val="TableBodyText"/>
                    <w:jc w:val="left"/>
                  </w:pPr>
                </w:p>
              </w:tc>
              <w:tc>
                <w:tcPr>
                  <w:tcW w:w="4333" w:type="pct"/>
                </w:tcPr>
                <w:p w14:paraId="0DB5B7AD" w14:textId="76814AC7" w:rsidR="00944839" w:rsidRPr="004C48F1" w:rsidRDefault="00944839" w:rsidP="0030789B">
                  <w:pPr>
                    <w:pStyle w:val="TableBodyText"/>
                    <w:ind w:right="28"/>
                    <w:jc w:val="both"/>
                  </w:pPr>
                  <w:r w:rsidRPr="004C48F1">
                    <w:t>Supportive Accommodation</w:t>
                  </w:r>
                </w:p>
              </w:tc>
            </w:tr>
            <w:tr w:rsidR="00944839" w:rsidRPr="004C48F1" w14:paraId="07EB67A3" w14:textId="77777777" w:rsidTr="00EA4FFB">
              <w:tc>
                <w:tcPr>
                  <w:tcW w:w="667" w:type="pct"/>
                  <w:shd w:val="clear" w:color="auto" w:fill="auto"/>
                </w:tcPr>
                <w:p w14:paraId="2BF34AEF" w14:textId="210C6A97" w:rsidR="00944839" w:rsidRPr="004C48F1" w:rsidRDefault="00944839" w:rsidP="00845342">
                  <w:pPr>
                    <w:pStyle w:val="TableBodyText"/>
                    <w:jc w:val="left"/>
                  </w:pPr>
                  <w:r w:rsidRPr="004C48F1">
                    <w:t>WA</w:t>
                  </w:r>
                </w:p>
              </w:tc>
              <w:tc>
                <w:tcPr>
                  <w:tcW w:w="4333" w:type="pct"/>
                </w:tcPr>
                <w:p w14:paraId="2F8E7A02" w14:textId="759E1E3D" w:rsidR="00944839" w:rsidRPr="004C48F1" w:rsidRDefault="00C50027" w:rsidP="00FF036B">
                  <w:pPr>
                    <w:pStyle w:val="TableBodyText"/>
                    <w:ind w:right="28"/>
                    <w:jc w:val="both"/>
                  </w:pPr>
                  <w:r w:rsidRPr="004C48F1">
                    <w:t>Current and previously r</w:t>
                  </w:r>
                  <w:r w:rsidR="00944839" w:rsidRPr="004C48F1">
                    <w:t xml:space="preserve">egistered </w:t>
                  </w:r>
                  <w:r w:rsidR="00FF036B" w:rsidRPr="004C48F1">
                    <w:t>p</w:t>
                  </w:r>
                  <w:r w:rsidR="00944839" w:rsidRPr="004C48F1">
                    <w:t>roviders in all of the below programs (plus any new program developed)</w:t>
                  </w:r>
                </w:p>
              </w:tc>
            </w:tr>
            <w:tr w:rsidR="00944839" w:rsidRPr="004C48F1" w14:paraId="361C10AF" w14:textId="77777777" w:rsidTr="00EA4FFB">
              <w:tc>
                <w:tcPr>
                  <w:tcW w:w="667" w:type="pct"/>
                  <w:shd w:val="clear" w:color="auto" w:fill="auto"/>
                </w:tcPr>
                <w:p w14:paraId="6CF38193" w14:textId="77777777" w:rsidR="00944839" w:rsidRPr="004C48F1" w:rsidRDefault="00944839" w:rsidP="00845342">
                  <w:pPr>
                    <w:pStyle w:val="TableBodyText"/>
                    <w:jc w:val="left"/>
                  </w:pPr>
                </w:p>
              </w:tc>
              <w:tc>
                <w:tcPr>
                  <w:tcW w:w="4333" w:type="pct"/>
                </w:tcPr>
                <w:p w14:paraId="54BEC86E" w14:textId="46D02F3D" w:rsidR="00944839" w:rsidRPr="004C48F1" w:rsidRDefault="00944839" w:rsidP="001C0B07">
                  <w:pPr>
                    <w:pStyle w:val="TableBodyText"/>
                    <w:ind w:right="28"/>
                    <w:jc w:val="both"/>
                  </w:pPr>
                  <w:r w:rsidRPr="004C48F1">
                    <w:t xml:space="preserve">Community Disability Housing Program </w:t>
                  </w:r>
                </w:p>
              </w:tc>
            </w:tr>
            <w:tr w:rsidR="00944839" w:rsidRPr="004C48F1" w14:paraId="4E174BC7" w14:textId="77777777" w:rsidTr="00EA4FFB">
              <w:tc>
                <w:tcPr>
                  <w:tcW w:w="667" w:type="pct"/>
                  <w:shd w:val="clear" w:color="auto" w:fill="auto"/>
                </w:tcPr>
                <w:p w14:paraId="6DB8D28D" w14:textId="77777777" w:rsidR="00944839" w:rsidRPr="004C48F1" w:rsidRDefault="00944839" w:rsidP="00845342">
                  <w:pPr>
                    <w:pStyle w:val="TableBodyText"/>
                    <w:jc w:val="left"/>
                  </w:pPr>
                </w:p>
              </w:tc>
              <w:tc>
                <w:tcPr>
                  <w:tcW w:w="4333" w:type="pct"/>
                </w:tcPr>
                <w:p w14:paraId="66726847" w14:textId="2E8C057B" w:rsidR="00944839" w:rsidRPr="004C48F1" w:rsidRDefault="00944839" w:rsidP="001C0B07">
                  <w:pPr>
                    <w:pStyle w:val="TableBodyText"/>
                    <w:ind w:right="28"/>
                    <w:jc w:val="both"/>
                  </w:pPr>
                  <w:r w:rsidRPr="004C48F1">
                    <w:t>Community Housing Program</w:t>
                  </w:r>
                </w:p>
              </w:tc>
            </w:tr>
            <w:tr w:rsidR="00FF036B" w:rsidRPr="004C48F1" w14:paraId="6E2B66E7" w14:textId="77777777" w:rsidTr="00EA4FFB">
              <w:tc>
                <w:tcPr>
                  <w:tcW w:w="667" w:type="pct"/>
                  <w:shd w:val="clear" w:color="auto" w:fill="auto"/>
                </w:tcPr>
                <w:p w14:paraId="010723DB" w14:textId="77777777" w:rsidR="00FF036B" w:rsidRPr="004C48F1" w:rsidRDefault="00FF036B" w:rsidP="00845342">
                  <w:pPr>
                    <w:pStyle w:val="TableBodyText"/>
                    <w:jc w:val="left"/>
                  </w:pPr>
                </w:p>
              </w:tc>
              <w:tc>
                <w:tcPr>
                  <w:tcW w:w="4333" w:type="pct"/>
                </w:tcPr>
                <w:p w14:paraId="09F74554" w14:textId="4FE7A827" w:rsidR="00FF036B" w:rsidRPr="004C48F1" w:rsidRDefault="00FF036B" w:rsidP="001C0B07">
                  <w:pPr>
                    <w:pStyle w:val="TableBodyText"/>
                    <w:ind w:right="28"/>
                    <w:jc w:val="both"/>
                  </w:pPr>
                  <w:r w:rsidRPr="004C48F1">
                    <w:t>Indigenous Urban Community Housing</w:t>
                  </w:r>
                </w:p>
              </w:tc>
            </w:tr>
            <w:tr w:rsidR="00944839" w:rsidRPr="004C48F1" w14:paraId="15FFD878" w14:textId="77777777" w:rsidTr="00EA4FFB">
              <w:tc>
                <w:tcPr>
                  <w:tcW w:w="667" w:type="pct"/>
                  <w:shd w:val="clear" w:color="auto" w:fill="auto"/>
                </w:tcPr>
                <w:p w14:paraId="6EC2DEEB" w14:textId="77777777" w:rsidR="00944839" w:rsidRPr="004C48F1" w:rsidRDefault="00944839" w:rsidP="00845342">
                  <w:pPr>
                    <w:pStyle w:val="TableBodyText"/>
                    <w:jc w:val="left"/>
                  </w:pPr>
                </w:p>
              </w:tc>
              <w:tc>
                <w:tcPr>
                  <w:tcW w:w="4333" w:type="pct"/>
                </w:tcPr>
                <w:p w14:paraId="44EEBE1B" w14:textId="439211CC" w:rsidR="00944839" w:rsidRPr="004C48F1" w:rsidRDefault="00FF036B" w:rsidP="001C0B07">
                  <w:pPr>
                    <w:pStyle w:val="TableBodyText"/>
                    <w:ind w:right="28"/>
                    <w:jc w:val="both"/>
                  </w:pPr>
                  <w:r w:rsidRPr="004C48F1">
                    <w:t>Joint Venture Program</w:t>
                  </w:r>
                </w:p>
              </w:tc>
            </w:tr>
            <w:tr w:rsidR="00FF036B" w:rsidRPr="004C48F1" w14:paraId="06228CC6" w14:textId="77777777" w:rsidTr="00EA4FFB">
              <w:tc>
                <w:tcPr>
                  <w:tcW w:w="667" w:type="pct"/>
                  <w:shd w:val="clear" w:color="auto" w:fill="auto"/>
                </w:tcPr>
                <w:p w14:paraId="6EBDCCF0" w14:textId="77777777" w:rsidR="00FF036B" w:rsidRPr="004C48F1" w:rsidRDefault="00FF036B" w:rsidP="00845342">
                  <w:pPr>
                    <w:pStyle w:val="TableBodyText"/>
                    <w:jc w:val="left"/>
                  </w:pPr>
                </w:p>
              </w:tc>
              <w:tc>
                <w:tcPr>
                  <w:tcW w:w="4333" w:type="pct"/>
                </w:tcPr>
                <w:p w14:paraId="026C0C5A" w14:textId="0493AD72" w:rsidR="00FF036B" w:rsidRPr="004C48F1" w:rsidRDefault="00FF036B" w:rsidP="001C0B07">
                  <w:pPr>
                    <w:pStyle w:val="TableBodyText"/>
                    <w:ind w:right="28"/>
                    <w:jc w:val="both"/>
                  </w:pPr>
                  <w:r w:rsidRPr="004C48F1">
                    <w:t>Lease For Life</w:t>
                  </w:r>
                </w:p>
              </w:tc>
            </w:tr>
            <w:tr w:rsidR="00944839" w:rsidRPr="004C48F1" w14:paraId="75AD71E7" w14:textId="77777777" w:rsidTr="00EA4FFB">
              <w:tc>
                <w:tcPr>
                  <w:tcW w:w="667" w:type="pct"/>
                  <w:shd w:val="clear" w:color="auto" w:fill="auto"/>
                </w:tcPr>
                <w:p w14:paraId="67CD7A6A" w14:textId="77777777" w:rsidR="00944839" w:rsidRPr="004C48F1" w:rsidRDefault="00944839" w:rsidP="00845342">
                  <w:pPr>
                    <w:pStyle w:val="TableBodyText"/>
                    <w:jc w:val="left"/>
                  </w:pPr>
                </w:p>
              </w:tc>
              <w:tc>
                <w:tcPr>
                  <w:tcW w:w="4333" w:type="pct"/>
                </w:tcPr>
                <w:p w14:paraId="50DE27E6" w14:textId="4B29BA4A" w:rsidR="00944839" w:rsidRPr="004C48F1" w:rsidRDefault="00944839" w:rsidP="001C0B07">
                  <w:pPr>
                    <w:pStyle w:val="TableBodyText"/>
                    <w:ind w:right="28"/>
                    <w:jc w:val="both"/>
                    <w:rPr>
                      <w:szCs w:val="18"/>
                    </w:rPr>
                  </w:pPr>
                  <w:r w:rsidRPr="004C48F1">
                    <w:rPr>
                      <w:szCs w:val="18"/>
                    </w:rPr>
                    <w:t>Local Government and Community Housing Program</w:t>
                  </w:r>
                </w:p>
              </w:tc>
            </w:tr>
            <w:tr w:rsidR="00944839" w:rsidRPr="004C48F1" w14:paraId="214874EE" w14:textId="77777777" w:rsidTr="00EA4FFB">
              <w:tc>
                <w:tcPr>
                  <w:tcW w:w="667" w:type="pct"/>
                  <w:shd w:val="clear" w:color="auto" w:fill="auto"/>
                </w:tcPr>
                <w:p w14:paraId="19F79279" w14:textId="77777777" w:rsidR="00944839" w:rsidRPr="004C48F1" w:rsidRDefault="00944839" w:rsidP="00845342">
                  <w:pPr>
                    <w:pStyle w:val="TableBodyText"/>
                    <w:jc w:val="left"/>
                  </w:pPr>
                </w:p>
              </w:tc>
              <w:tc>
                <w:tcPr>
                  <w:tcW w:w="4333" w:type="pct"/>
                </w:tcPr>
                <w:p w14:paraId="49BAE0A2" w14:textId="1BABA1D3" w:rsidR="00944839" w:rsidRPr="004C48F1" w:rsidRDefault="00944839" w:rsidP="00560025">
                  <w:pPr>
                    <w:pStyle w:val="TableBodyText"/>
                    <w:ind w:right="28"/>
                    <w:jc w:val="both"/>
                  </w:pPr>
                  <w:r w:rsidRPr="004C48F1">
                    <w:t>Lodging House</w:t>
                  </w:r>
                  <w:r w:rsidR="00560025" w:rsidRPr="004C48F1">
                    <w:t xml:space="preserve"> Program</w:t>
                  </w:r>
                </w:p>
              </w:tc>
            </w:tr>
            <w:tr w:rsidR="00560025" w:rsidRPr="004C48F1" w14:paraId="6EF2ABF7" w14:textId="77777777" w:rsidTr="00EA4FFB">
              <w:tc>
                <w:tcPr>
                  <w:tcW w:w="667" w:type="pct"/>
                  <w:shd w:val="clear" w:color="auto" w:fill="auto"/>
                </w:tcPr>
                <w:p w14:paraId="7148B68D" w14:textId="77777777" w:rsidR="00560025" w:rsidRPr="004C48F1" w:rsidRDefault="00560025" w:rsidP="00560025">
                  <w:pPr>
                    <w:pStyle w:val="TableBodyText"/>
                    <w:jc w:val="left"/>
                  </w:pPr>
                </w:p>
              </w:tc>
              <w:tc>
                <w:tcPr>
                  <w:tcW w:w="4333" w:type="pct"/>
                </w:tcPr>
                <w:p w14:paraId="0D902BF2" w14:textId="2459386C" w:rsidR="00560025" w:rsidRPr="004C48F1" w:rsidRDefault="00560025" w:rsidP="00560025">
                  <w:pPr>
                    <w:pStyle w:val="TableBodyText"/>
                    <w:ind w:right="28"/>
                    <w:jc w:val="both"/>
                  </w:pPr>
                  <w:r w:rsidRPr="004C48F1">
                    <w:t>Public Housing Leasing Program</w:t>
                  </w:r>
                </w:p>
              </w:tc>
            </w:tr>
            <w:tr w:rsidR="00560025" w:rsidRPr="004C48F1" w14:paraId="3E44EEEF" w14:textId="77777777" w:rsidTr="00EA4FFB">
              <w:tc>
                <w:tcPr>
                  <w:tcW w:w="667" w:type="pct"/>
                  <w:shd w:val="clear" w:color="auto" w:fill="auto"/>
                </w:tcPr>
                <w:p w14:paraId="60B445C4" w14:textId="77777777" w:rsidR="00560025" w:rsidRPr="004C48F1" w:rsidRDefault="00560025" w:rsidP="00560025">
                  <w:pPr>
                    <w:pStyle w:val="TableBodyText"/>
                    <w:jc w:val="left"/>
                  </w:pPr>
                </w:p>
              </w:tc>
              <w:tc>
                <w:tcPr>
                  <w:tcW w:w="4333" w:type="pct"/>
                </w:tcPr>
                <w:p w14:paraId="7EE55042" w14:textId="37F36CA4" w:rsidR="00560025" w:rsidRPr="004C48F1" w:rsidRDefault="00560025" w:rsidP="00560025">
                  <w:pPr>
                    <w:pStyle w:val="TableBodyText"/>
                    <w:ind w:right="28"/>
                    <w:jc w:val="both"/>
                  </w:pPr>
                  <w:r w:rsidRPr="004C48F1">
                    <w:t>Social Housing Investment Package — Community Housing</w:t>
                  </w:r>
                </w:p>
              </w:tc>
            </w:tr>
            <w:tr w:rsidR="00560025" w:rsidRPr="004C48F1" w14:paraId="06725783" w14:textId="77777777" w:rsidTr="00EA4FFB">
              <w:tc>
                <w:tcPr>
                  <w:tcW w:w="667" w:type="pct"/>
                  <w:shd w:val="clear" w:color="auto" w:fill="auto"/>
                </w:tcPr>
                <w:p w14:paraId="5D9C6C32" w14:textId="77777777" w:rsidR="00560025" w:rsidRPr="004C48F1" w:rsidRDefault="00560025" w:rsidP="00560025">
                  <w:pPr>
                    <w:pStyle w:val="TableBodyText"/>
                    <w:jc w:val="left"/>
                  </w:pPr>
                </w:p>
              </w:tc>
              <w:tc>
                <w:tcPr>
                  <w:tcW w:w="4333" w:type="pct"/>
                </w:tcPr>
                <w:p w14:paraId="54EF96A0" w14:textId="7417AA6B" w:rsidR="00560025" w:rsidRPr="004C48F1" w:rsidRDefault="00560025" w:rsidP="00560025">
                  <w:pPr>
                    <w:pStyle w:val="TableBodyText"/>
                    <w:ind w:right="28"/>
                    <w:jc w:val="both"/>
                  </w:pPr>
                  <w:r w:rsidRPr="004C48F1">
                    <w:t>State Community Housing Investment Program</w:t>
                  </w:r>
                </w:p>
              </w:tc>
            </w:tr>
            <w:tr w:rsidR="00560025" w:rsidRPr="004C48F1" w14:paraId="121AFBA5" w14:textId="77777777" w:rsidTr="00EA4FFB">
              <w:tc>
                <w:tcPr>
                  <w:tcW w:w="667" w:type="pct"/>
                  <w:shd w:val="clear" w:color="auto" w:fill="auto"/>
                </w:tcPr>
                <w:p w14:paraId="5D15FC81" w14:textId="77777777" w:rsidR="00560025" w:rsidRPr="004C48F1" w:rsidRDefault="00560025" w:rsidP="00560025">
                  <w:pPr>
                    <w:pStyle w:val="TableBodyText"/>
                    <w:jc w:val="left"/>
                  </w:pPr>
                </w:p>
              </w:tc>
              <w:tc>
                <w:tcPr>
                  <w:tcW w:w="4333" w:type="pct"/>
                </w:tcPr>
                <w:p w14:paraId="2F84BB87" w14:textId="4AF1B232" w:rsidR="00560025" w:rsidRPr="004C48F1" w:rsidRDefault="00560025" w:rsidP="00560025">
                  <w:pPr>
                    <w:pStyle w:val="TableBodyText"/>
                    <w:ind w:right="28"/>
                    <w:jc w:val="both"/>
                  </w:pPr>
                  <w:r w:rsidRPr="004C48F1">
                    <w:t>Transitional Housing Program</w:t>
                  </w:r>
                </w:p>
              </w:tc>
            </w:tr>
            <w:tr w:rsidR="005E60A4" w14:paraId="76389F9A" w14:textId="77777777" w:rsidTr="00EA4FFB">
              <w:tc>
                <w:tcPr>
                  <w:tcW w:w="667" w:type="pct"/>
                  <w:shd w:val="clear" w:color="auto" w:fill="auto"/>
                </w:tcPr>
                <w:p w14:paraId="0AE4C5E8" w14:textId="77777777" w:rsidR="005E60A4" w:rsidRPr="004C48F1" w:rsidRDefault="005E60A4" w:rsidP="00560025">
                  <w:pPr>
                    <w:pStyle w:val="TableBodyText"/>
                    <w:jc w:val="left"/>
                  </w:pPr>
                </w:p>
              </w:tc>
              <w:tc>
                <w:tcPr>
                  <w:tcW w:w="4333" w:type="pct"/>
                </w:tcPr>
                <w:p w14:paraId="05891007" w14:textId="754FC696" w:rsidR="005E60A4" w:rsidRPr="004C48F1" w:rsidRDefault="005E60A4" w:rsidP="005E60A4">
                  <w:pPr>
                    <w:pStyle w:val="TableBodyText"/>
                    <w:spacing w:before="80"/>
                    <w:ind w:right="28"/>
                  </w:pPr>
                  <w:r w:rsidRPr="004C48F1">
                    <w:t>(Continued next page)</w:t>
                  </w:r>
                </w:p>
              </w:tc>
            </w:tr>
          </w:tbl>
          <w:p w14:paraId="5E8CB7C9" w14:textId="77777777" w:rsidR="005911FB" w:rsidRDefault="005911FB" w:rsidP="00845342">
            <w:pPr>
              <w:pStyle w:val="Box"/>
            </w:pPr>
          </w:p>
        </w:tc>
      </w:tr>
      <w:tr w:rsidR="005911FB" w14:paraId="06D248ED" w14:textId="77777777" w:rsidTr="00845342">
        <w:tc>
          <w:tcPr>
            <w:tcW w:w="5000" w:type="pct"/>
            <w:tcBorders>
              <w:top w:val="nil"/>
              <w:left w:val="nil"/>
              <w:bottom w:val="single" w:sz="6" w:space="0" w:color="78A22F"/>
              <w:right w:val="nil"/>
            </w:tcBorders>
            <w:shd w:val="clear" w:color="auto" w:fill="auto"/>
          </w:tcPr>
          <w:p w14:paraId="747D527C" w14:textId="77777777" w:rsidR="005911FB" w:rsidRDefault="005911FB" w:rsidP="00845342">
            <w:pPr>
              <w:pStyle w:val="Box"/>
              <w:spacing w:before="0" w:line="120" w:lineRule="exact"/>
            </w:pPr>
          </w:p>
        </w:tc>
      </w:tr>
      <w:tr w:rsidR="005911FB" w:rsidRPr="000863A5" w14:paraId="741F3293" w14:textId="77777777" w:rsidTr="00845342">
        <w:tc>
          <w:tcPr>
            <w:tcW w:w="5000" w:type="pct"/>
            <w:tcBorders>
              <w:top w:val="single" w:sz="6" w:space="0" w:color="78A22F"/>
              <w:left w:val="nil"/>
              <w:bottom w:val="nil"/>
              <w:right w:val="nil"/>
            </w:tcBorders>
          </w:tcPr>
          <w:p w14:paraId="4C445289" w14:textId="6171B52B" w:rsidR="005911FB" w:rsidRPr="00626D32" w:rsidRDefault="005911FB" w:rsidP="00845342">
            <w:pPr>
              <w:pStyle w:val="BoxSpaceBelow"/>
            </w:pPr>
          </w:p>
        </w:tc>
      </w:tr>
    </w:tbl>
    <w:p w14:paraId="259E5090" w14:textId="624011A1" w:rsidR="00EA4FFB" w:rsidRDefault="00EA4FFB" w:rsidP="0084534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A4FFB" w14:paraId="4101B163" w14:textId="77777777" w:rsidTr="00845342">
        <w:trPr>
          <w:tblHeader/>
        </w:trPr>
        <w:tc>
          <w:tcPr>
            <w:tcW w:w="5000" w:type="pct"/>
            <w:tcBorders>
              <w:top w:val="single" w:sz="6" w:space="0" w:color="78A22F"/>
              <w:left w:val="nil"/>
              <w:bottom w:val="nil"/>
              <w:right w:val="nil"/>
            </w:tcBorders>
            <w:shd w:val="clear" w:color="auto" w:fill="auto"/>
          </w:tcPr>
          <w:p w14:paraId="29126036" w14:textId="21BACDF6" w:rsidR="00EA4FFB" w:rsidRPr="00784A05" w:rsidRDefault="00EA4FFB" w:rsidP="00FD437C">
            <w:pPr>
              <w:pStyle w:val="TableTitle"/>
            </w:pPr>
            <w:r>
              <w:rPr>
                <w:b w:val="0"/>
              </w:rPr>
              <w:t xml:space="preserve">Table </w:t>
            </w:r>
            <w:r w:rsidR="00A16D87">
              <w:rPr>
                <w:b w:val="0"/>
              </w:rPr>
              <w:t>18.</w:t>
            </w:r>
            <w:r w:rsidR="00FD437C">
              <w:rPr>
                <w:b w:val="0"/>
              </w:rPr>
              <w:t>5</w:t>
            </w:r>
            <w:r>
              <w:rPr>
                <w:b w:val="0"/>
              </w:rPr>
              <w:tab/>
            </w:r>
            <w:r w:rsidRPr="00EA4FFB">
              <w:rPr>
                <w:b w:val="0"/>
                <w:sz w:val="18"/>
                <w:szCs w:val="18"/>
              </w:rPr>
              <w:t>(continued)</w:t>
            </w:r>
          </w:p>
        </w:tc>
      </w:tr>
      <w:tr w:rsidR="00EA4FFB" w14:paraId="6EFA3E5C" w14:textId="77777777" w:rsidTr="00845342">
        <w:tc>
          <w:tcPr>
            <w:tcW w:w="5000" w:type="pct"/>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1134"/>
              <w:gridCol w:w="7370"/>
            </w:tblGrid>
            <w:tr w:rsidR="006E7434" w:rsidRPr="004C48F1" w14:paraId="60D01438" w14:textId="77777777" w:rsidTr="00166D72">
              <w:tc>
                <w:tcPr>
                  <w:tcW w:w="667" w:type="pct"/>
                  <w:tcBorders>
                    <w:top w:val="single" w:sz="6" w:space="0" w:color="BFBFBF"/>
                  </w:tcBorders>
                </w:tcPr>
                <w:p w14:paraId="40A595AC" w14:textId="77777777" w:rsidR="006E7434" w:rsidRDefault="006E7434" w:rsidP="006E7434">
                  <w:pPr>
                    <w:pStyle w:val="TableUnitsRow"/>
                    <w:jc w:val="left"/>
                  </w:pPr>
                </w:p>
              </w:tc>
              <w:tc>
                <w:tcPr>
                  <w:tcW w:w="4333" w:type="pct"/>
                  <w:tcBorders>
                    <w:top w:val="single" w:sz="6" w:space="0" w:color="BFBFBF"/>
                  </w:tcBorders>
                </w:tcPr>
                <w:p w14:paraId="2B6BC778" w14:textId="57E80BBB" w:rsidR="006E7434" w:rsidRPr="004C48F1" w:rsidRDefault="006E7434" w:rsidP="006E7434">
                  <w:pPr>
                    <w:pStyle w:val="TableUnitsRow"/>
                    <w:ind w:right="28"/>
                    <w:jc w:val="both"/>
                  </w:pPr>
                  <w:r w:rsidRPr="004C48F1">
                    <w:t>Dwellings owned exclusively by the Department of</w:t>
                  </w:r>
                  <w:r w:rsidR="001156E8">
                    <w:t xml:space="preserve"> Housing and head leased to non</w:t>
                  </w:r>
                  <w:r w:rsidR="001156E8">
                    <w:noBreakHyphen/>
                  </w:r>
                  <w:r w:rsidRPr="004C48F1">
                    <w:t>profit community agencies who provide property management and/or support services to the tenants</w:t>
                  </w:r>
                </w:p>
              </w:tc>
            </w:tr>
            <w:tr w:rsidR="006E7434" w:rsidRPr="004C48F1" w14:paraId="297A84B8" w14:textId="77777777" w:rsidTr="00166D72">
              <w:tc>
                <w:tcPr>
                  <w:tcW w:w="667" w:type="pct"/>
                </w:tcPr>
                <w:p w14:paraId="29A48914" w14:textId="77777777" w:rsidR="006E7434" w:rsidRPr="004C48F1" w:rsidRDefault="006E7434" w:rsidP="006E7434">
                  <w:pPr>
                    <w:pStyle w:val="TableUnitsRow"/>
                    <w:jc w:val="left"/>
                  </w:pPr>
                </w:p>
              </w:tc>
              <w:tc>
                <w:tcPr>
                  <w:tcW w:w="4333" w:type="pct"/>
                </w:tcPr>
                <w:p w14:paraId="282B8ADA" w14:textId="10520F26" w:rsidR="006E7434" w:rsidRPr="004C48F1" w:rsidRDefault="006E7434" w:rsidP="006E7434">
                  <w:pPr>
                    <w:pStyle w:val="TableUnitsRow"/>
                    <w:ind w:right="28"/>
                    <w:jc w:val="both"/>
                  </w:pPr>
                  <w:r w:rsidRPr="004C48F1">
                    <w:t>Dwellings where the Department of Housing has an interest or exclusive ownership</w:t>
                  </w:r>
                  <w:r w:rsidR="00DC2D10">
                    <w:t>,</w:t>
                  </w:r>
                  <w:r w:rsidRPr="004C48F1">
                    <w:t xml:space="preserve"> but the title is held by </w:t>
                  </w:r>
                  <w:r w:rsidR="00E61FED" w:rsidRPr="004C48F1">
                    <w:t>non-profit</w:t>
                  </w:r>
                  <w:r w:rsidRPr="004C48F1">
                    <w:t xml:space="preserve"> community agencies or local government and they provide property management and/or support services to the tenants</w:t>
                  </w:r>
                </w:p>
              </w:tc>
            </w:tr>
            <w:tr w:rsidR="00EA4FFB" w:rsidRPr="004C48F1" w14:paraId="643D91BA" w14:textId="77777777" w:rsidTr="00166D72">
              <w:tc>
                <w:tcPr>
                  <w:tcW w:w="667" w:type="pct"/>
                </w:tcPr>
                <w:p w14:paraId="5F14F66A" w14:textId="7AB8F4D2" w:rsidR="00EA4FFB" w:rsidRPr="004C48F1" w:rsidRDefault="00EA4FFB" w:rsidP="00EA4FFB">
                  <w:pPr>
                    <w:pStyle w:val="TableUnitsRow"/>
                    <w:jc w:val="left"/>
                  </w:pPr>
                  <w:r w:rsidRPr="004C48F1">
                    <w:t>SA</w:t>
                  </w:r>
                </w:p>
              </w:tc>
              <w:tc>
                <w:tcPr>
                  <w:tcW w:w="4333" w:type="pct"/>
                </w:tcPr>
                <w:p w14:paraId="423E1F24" w14:textId="5E259B93" w:rsidR="00EA4FFB" w:rsidRPr="004C48F1" w:rsidRDefault="00EA4FFB" w:rsidP="00D20D8A">
                  <w:pPr>
                    <w:pStyle w:val="TableUnitsRow"/>
                    <w:ind w:right="28"/>
                    <w:jc w:val="both"/>
                  </w:pPr>
                  <w:r w:rsidRPr="004C48F1">
                    <w:t xml:space="preserve">All South Australia Community Housing Authority </w:t>
                  </w:r>
                  <w:r w:rsidR="00280B13" w:rsidRPr="004C48F1">
                    <w:t>f</w:t>
                  </w:r>
                  <w:r w:rsidRPr="004C48F1">
                    <w:t xml:space="preserve">unded </w:t>
                  </w:r>
                  <w:r w:rsidR="00280B13" w:rsidRPr="004C48F1">
                    <w:t>a</w:t>
                  </w:r>
                  <w:r w:rsidRPr="004C48F1">
                    <w:t xml:space="preserve">ssets allocated to a registered community housing provider under the </w:t>
                  </w:r>
                  <w:r w:rsidRPr="004C48F1">
                    <w:rPr>
                      <w:i/>
                    </w:rPr>
                    <w:t>Community Housing Providers (National Law)</w:t>
                  </w:r>
                  <w:r w:rsidRPr="004C48F1">
                    <w:t xml:space="preserve"> </w:t>
                  </w:r>
                  <w:r w:rsidR="00D20D8A" w:rsidRPr="004C48F1">
                    <w:rPr>
                      <w:i/>
                    </w:rPr>
                    <w:t>Act 2013</w:t>
                  </w:r>
                  <w:r w:rsidR="00D20D8A" w:rsidRPr="004C48F1">
                    <w:t xml:space="preserve"> </w:t>
                  </w:r>
                  <w:r w:rsidRPr="004C48F1">
                    <w:t>(SA</w:t>
                  </w:r>
                  <w:r w:rsidR="00D20D8A" w:rsidRPr="004C48F1">
                    <w:t>)</w:t>
                  </w:r>
                </w:p>
              </w:tc>
            </w:tr>
            <w:tr w:rsidR="00EA4FFB" w:rsidRPr="004C48F1" w14:paraId="297777FA" w14:textId="77777777" w:rsidTr="00166D72">
              <w:tc>
                <w:tcPr>
                  <w:tcW w:w="667" w:type="pct"/>
                </w:tcPr>
                <w:p w14:paraId="290C6AC2" w14:textId="77777777" w:rsidR="00EA4FFB" w:rsidRPr="004C48F1" w:rsidRDefault="00EA4FFB" w:rsidP="00EA4FFB">
                  <w:pPr>
                    <w:pStyle w:val="TableUnitsRow"/>
                    <w:jc w:val="left"/>
                  </w:pPr>
                </w:p>
              </w:tc>
              <w:tc>
                <w:tcPr>
                  <w:tcW w:w="4333" w:type="pct"/>
                </w:tcPr>
                <w:p w14:paraId="5C685450" w14:textId="7343FC2A" w:rsidR="00EA4FFB" w:rsidRPr="004C48F1" w:rsidRDefault="00EA4FFB" w:rsidP="00D20D8A">
                  <w:pPr>
                    <w:pStyle w:val="TableUnitsRow"/>
                    <w:ind w:right="28"/>
                    <w:jc w:val="both"/>
                  </w:pPr>
                  <w:r w:rsidRPr="004C48F1">
                    <w:t xml:space="preserve">All SA Housing Trust leased dwellings managed by community housing providers </w:t>
                  </w:r>
                  <w:r w:rsidRPr="004C48F1">
                    <w:rPr>
                      <w:i/>
                    </w:rPr>
                    <w:t>Community Housing Providers (National Law) Act 2013</w:t>
                  </w:r>
                  <w:r w:rsidR="00D20D8A" w:rsidRPr="004C48F1">
                    <w:t xml:space="preserve"> (SA)</w:t>
                  </w:r>
                </w:p>
              </w:tc>
            </w:tr>
            <w:tr w:rsidR="00EA4FFB" w:rsidRPr="004C48F1" w14:paraId="01E32120" w14:textId="77777777" w:rsidTr="00166D72">
              <w:tc>
                <w:tcPr>
                  <w:tcW w:w="667" w:type="pct"/>
                </w:tcPr>
                <w:p w14:paraId="3E4EF05C" w14:textId="71DA3105" w:rsidR="00EA4FFB" w:rsidRPr="004C48F1" w:rsidRDefault="00EA4FFB" w:rsidP="00EA4FFB">
                  <w:pPr>
                    <w:pStyle w:val="TableUnitsRow"/>
                    <w:jc w:val="left"/>
                  </w:pPr>
                  <w:r w:rsidRPr="004C48F1">
                    <w:t>Tasmania</w:t>
                  </w:r>
                </w:p>
              </w:tc>
              <w:tc>
                <w:tcPr>
                  <w:tcW w:w="4333" w:type="pct"/>
                </w:tcPr>
                <w:p w14:paraId="2CC0F77C" w14:textId="34ECF161" w:rsidR="00EA4FFB" w:rsidRPr="004C48F1" w:rsidRDefault="00EA4FFB" w:rsidP="001C0B07">
                  <w:pPr>
                    <w:pStyle w:val="TableUnitsRow"/>
                    <w:ind w:right="28"/>
                    <w:jc w:val="both"/>
                  </w:pPr>
                  <w:r w:rsidRPr="004C48F1">
                    <w:t xml:space="preserve">Properties funded for the purposes of community housing, including properties transferred from public housing stock to the community sector, and properties funded under the National Rental Affordability Scheme </w:t>
                  </w:r>
                </w:p>
              </w:tc>
            </w:tr>
            <w:tr w:rsidR="00EA4FFB" w:rsidRPr="004C48F1" w14:paraId="29CE1BBC" w14:textId="77777777" w:rsidTr="00F64520">
              <w:tc>
                <w:tcPr>
                  <w:tcW w:w="667" w:type="pct"/>
                </w:tcPr>
                <w:p w14:paraId="2B657FE9" w14:textId="77777777" w:rsidR="00EA4FFB" w:rsidRPr="004C48F1" w:rsidRDefault="00EA4FFB" w:rsidP="00EA4FFB">
                  <w:pPr>
                    <w:pStyle w:val="TableBodyText"/>
                    <w:jc w:val="left"/>
                  </w:pPr>
                </w:p>
              </w:tc>
              <w:tc>
                <w:tcPr>
                  <w:tcW w:w="4333" w:type="pct"/>
                </w:tcPr>
                <w:p w14:paraId="0273A6AE" w14:textId="08267812" w:rsidR="00EA4FFB" w:rsidRPr="004C48F1" w:rsidRDefault="00EA4FFB" w:rsidP="00EA4FFB">
                  <w:pPr>
                    <w:pStyle w:val="TableBodyText"/>
                    <w:ind w:right="28"/>
                    <w:jc w:val="both"/>
                  </w:pPr>
                  <w:r w:rsidRPr="004C48F1">
                    <w:t>Properties funded from the general program and leased to organisations providing non</w:t>
                  </w:r>
                  <w:r w:rsidR="00C47BFD" w:rsidRPr="004C48F1">
                    <w:noBreakHyphen/>
                  </w:r>
                  <w:r w:rsidRPr="004C48F1">
                    <w:t>crisis accommodation, such as community tenancies</w:t>
                  </w:r>
                </w:p>
              </w:tc>
            </w:tr>
            <w:tr w:rsidR="00EA4FFB" w:rsidRPr="004C48F1" w14:paraId="0B4CAD19" w14:textId="77777777" w:rsidTr="00F64520">
              <w:tc>
                <w:tcPr>
                  <w:tcW w:w="667" w:type="pct"/>
                </w:tcPr>
                <w:p w14:paraId="51A6F884" w14:textId="77777777" w:rsidR="00EA4FFB" w:rsidRPr="004C48F1" w:rsidRDefault="00EA4FFB" w:rsidP="00EA4FFB">
                  <w:pPr>
                    <w:pStyle w:val="TableBodyText"/>
                    <w:jc w:val="left"/>
                  </w:pPr>
                </w:p>
              </w:tc>
              <w:tc>
                <w:tcPr>
                  <w:tcW w:w="4333" w:type="pct"/>
                </w:tcPr>
                <w:p w14:paraId="04C4C1D5" w14:textId="0324861E" w:rsidR="00EA4FFB" w:rsidRPr="004C48F1" w:rsidRDefault="00EA4FFB" w:rsidP="001C0B07">
                  <w:pPr>
                    <w:pStyle w:val="TableBodyText"/>
                    <w:ind w:right="28"/>
                    <w:jc w:val="both"/>
                  </w:pPr>
                  <w:r w:rsidRPr="004C48F1">
                    <w:t>Properties leased by Specialist Homelessness Services agencies for transitional housing</w:t>
                  </w:r>
                </w:p>
              </w:tc>
            </w:tr>
            <w:tr w:rsidR="00EA4FFB" w:rsidRPr="004C48F1" w14:paraId="7E808672" w14:textId="77777777" w:rsidTr="00F64520">
              <w:tc>
                <w:tcPr>
                  <w:tcW w:w="667" w:type="pct"/>
                </w:tcPr>
                <w:p w14:paraId="385E63EF" w14:textId="77777777" w:rsidR="00EA4FFB" w:rsidRPr="004C48F1" w:rsidRDefault="00EA4FFB" w:rsidP="00EA4FFB">
                  <w:pPr>
                    <w:pStyle w:val="TableBodyText"/>
                    <w:jc w:val="left"/>
                  </w:pPr>
                </w:p>
              </w:tc>
              <w:tc>
                <w:tcPr>
                  <w:tcW w:w="4333" w:type="pct"/>
                </w:tcPr>
                <w:p w14:paraId="0B23FBD3" w14:textId="3A242E38" w:rsidR="00EA4FFB" w:rsidRPr="004C48F1" w:rsidRDefault="00EA4FFB" w:rsidP="00EA4FFB">
                  <w:pPr>
                    <w:pStyle w:val="TableBodyText"/>
                    <w:ind w:right="28"/>
                    <w:jc w:val="both"/>
                  </w:pPr>
                  <w:r w:rsidRPr="004C48F1">
                    <w:t>Note that this scope includes community housing that is either funded or unfunded by government</w:t>
                  </w:r>
                </w:p>
              </w:tc>
            </w:tr>
            <w:tr w:rsidR="00EA4FFB" w:rsidRPr="004C48F1" w14:paraId="17F1A784" w14:textId="77777777" w:rsidTr="00F64520">
              <w:tc>
                <w:tcPr>
                  <w:tcW w:w="667" w:type="pct"/>
                </w:tcPr>
                <w:p w14:paraId="03038B47" w14:textId="5A977A6F" w:rsidR="00EA4FFB" w:rsidRPr="004C48F1" w:rsidRDefault="00EA4FFB" w:rsidP="00EA4FFB">
                  <w:pPr>
                    <w:pStyle w:val="TableBodyText"/>
                    <w:jc w:val="left"/>
                  </w:pPr>
                  <w:r w:rsidRPr="004C48F1">
                    <w:t>ACT</w:t>
                  </w:r>
                </w:p>
              </w:tc>
              <w:tc>
                <w:tcPr>
                  <w:tcW w:w="4333" w:type="pct"/>
                </w:tcPr>
                <w:p w14:paraId="1A35AB19" w14:textId="796ED2CF" w:rsidR="00EA4FFB" w:rsidRPr="004C48F1" w:rsidRDefault="00EA4FFB" w:rsidP="00EA4FFB">
                  <w:pPr>
                    <w:pStyle w:val="TableBodyText"/>
                    <w:ind w:right="28"/>
                    <w:jc w:val="both"/>
                  </w:pPr>
                  <w:r w:rsidRPr="004C48F1">
                    <w:t>Dwellings leased for the provision of community housing (head</w:t>
                  </w:r>
                  <w:r w:rsidR="00C47BFD" w:rsidRPr="004C48F1">
                    <w:noBreakHyphen/>
                  </w:r>
                  <w:r w:rsidRPr="004C48F1">
                    <w:t>leasing) provided the tenancy management function is undertaken by a community provider</w:t>
                  </w:r>
                </w:p>
              </w:tc>
            </w:tr>
            <w:tr w:rsidR="00EA4FFB" w:rsidRPr="004C48F1" w14:paraId="57496AC3" w14:textId="77777777" w:rsidTr="00F64520">
              <w:tc>
                <w:tcPr>
                  <w:tcW w:w="667" w:type="pct"/>
                </w:tcPr>
                <w:p w14:paraId="1BE84F77" w14:textId="77777777" w:rsidR="00EA4FFB" w:rsidRPr="004C48F1" w:rsidRDefault="00EA4FFB" w:rsidP="00EA4FFB">
                  <w:pPr>
                    <w:pStyle w:val="TableBodyText"/>
                    <w:jc w:val="left"/>
                  </w:pPr>
                </w:p>
              </w:tc>
              <w:tc>
                <w:tcPr>
                  <w:tcW w:w="4333" w:type="pct"/>
                </w:tcPr>
                <w:p w14:paraId="2AE611E6" w14:textId="5C6C69BA" w:rsidR="00EA4FFB" w:rsidRPr="004C48F1" w:rsidRDefault="00EA4FFB" w:rsidP="00EA4FFB">
                  <w:pPr>
                    <w:pStyle w:val="TableBodyText"/>
                    <w:ind w:right="28"/>
                    <w:jc w:val="both"/>
                  </w:pPr>
                  <w:r w:rsidRPr="004C48F1">
                    <w:t>Dwellings owned by Housing ACT but managed by a community housing provider</w:t>
                  </w:r>
                </w:p>
              </w:tc>
            </w:tr>
            <w:tr w:rsidR="00EA4FFB" w:rsidRPr="004C48F1" w14:paraId="54DF0810" w14:textId="77777777" w:rsidTr="00F64520">
              <w:tc>
                <w:tcPr>
                  <w:tcW w:w="667" w:type="pct"/>
                </w:tcPr>
                <w:p w14:paraId="5B9B2FBE" w14:textId="77777777" w:rsidR="00EA4FFB" w:rsidRPr="004C48F1" w:rsidRDefault="00EA4FFB" w:rsidP="00EA4FFB">
                  <w:pPr>
                    <w:pStyle w:val="TableBodyText"/>
                    <w:jc w:val="left"/>
                  </w:pPr>
                </w:p>
              </w:tc>
              <w:tc>
                <w:tcPr>
                  <w:tcW w:w="4333" w:type="pct"/>
                </w:tcPr>
                <w:p w14:paraId="14246FBB" w14:textId="505AE3C6" w:rsidR="00EA4FFB" w:rsidRPr="004C48F1" w:rsidRDefault="005D20B8" w:rsidP="00EA4FFB">
                  <w:pPr>
                    <w:pStyle w:val="TableBodyText"/>
                    <w:ind w:right="28"/>
                    <w:jc w:val="both"/>
                  </w:pPr>
                  <w:r w:rsidRPr="004C48F1">
                    <w:t>Public h</w:t>
                  </w:r>
                  <w:r w:rsidR="00EA4FFB" w:rsidRPr="004C48F1">
                    <w:t>ousing stock transferred to the community housing sector</w:t>
                  </w:r>
                </w:p>
              </w:tc>
            </w:tr>
            <w:tr w:rsidR="00EA4FFB" w:rsidRPr="004C48F1" w14:paraId="277B55E4" w14:textId="77777777" w:rsidTr="00F64520">
              <w:tc>
                <w:tcPr>
                  <w:tcW w:w="667" w:type="pct"/>
                </w:tcPr>
                <w:p w14:paraId="2BA8384B" w14:textId="77777777" w:rsidR="00EA4FFB" w:rsidRPr="004C48F1" w:rsidRDefault="00EA4FFB" w:rsidP="00EA4FFB">
                  <w:pPr>
                    <w:pStyle w:val="TableBodyText"/>
                    <w:jc w:val="left"/>
                  </w:pPr>
                </w:p>
              </w:tc>
              <w:tc>
                <w:tcPr>
                  <w:tcW w:w="4333" w:type="pct"/>
                </w:tcPr>
                <w:p w14:paraId="7881D2A7" w14:textId="2535BC3D" w:rsidR="00EA4FFB" w:rsidRPr="004C48F1" w:rsidRDefault="00EA4FFB" w:rsidP="00EA4FFB">
                  <w:pPr>
                    <w:pStyle w:val="TableBodyText"/>
                    <w:ind w:right="28"/>
                    <w:jc w:val="both"/>
                  </w:pPr>
                  <w:r w:rsidRPr="004C48F1">
                    <w:t>Community housing stock built under the National Partnership Agreement on the Nation Building Economic Stimulus Package</w:t>
                  </w:r>
                </w:p>
              </w:tc>
            </w:tr>
            <w:tr w:rsidR="0019479E" w:rsidRPr="004C48F1" w14:paraId="582A920D" w14:textId="77777777" w:rsidTr="00F64520">
              <w:tc>
                <w:tcPr>
                  <w:tcW w:w="667" w:type="pct"/>
                </w:tcPr>
                <w:p w14:paraId="48D39D9A" w14:textId="77777777" w:rsidR="0019479E" w:rsidRPr="004C48F1" w:rsidRDefault="0019479E" w:rsidP="00EA4FFB">
                  <w:pPr>
                    <w:pStyle w:val="TableBodyText"/>
                    <w:jc w:val="left"/>
                  </w:pPr>
                </w:p>
              </w:tc>
              <w:tc>
                <w:tcPr>
                  <w:tcW w:w="4333" w:type="pct"/>
                </w:tcPr>
                <w:p w14:paraId="7951F4D5" w14:textId="53987113" w:rsidR="0019479E" w:rsidRPr="004C48F1" w:rsidRDefault="0019479E" w:rsidP="00EA4FFB">
                  <w:pPr>
                    <w:pStyle w:val="TableBodyText"/>
                    <w:ind w:right="28"/>
                    <w:jc w:val="both"/>
                  </w:pPr>
                  <w:r w:rsidRPr="004C48F1">
                    <w:t>Community housing funded under the National Rental Affordability Scheme or other affordable housing arrangements.</w:t>
                  </w:r>
                </w:p>
              </w:tc>
            </w:tr>
            <w:tr w:rsidR="00EA4FFB" w14:paraId="56BFCAD6" w14:textId="77777777" w:rsidTr="00F64520">
              <w:tc>
                <w:tcPr>
                  <w:tcW w:w="667" w:type="pct"/>
                  <w:tcBorders>
                    <w:bottom w:val="single" w:sz="6" w:space="0" w:color="BFBFBF"/>
                  </w:tcBorders>
                </w:tcPr>
                <w:p w14:paraId="4575BE5F" w14:textId="0040EAA4" w:rsidR="00EA4FFB" w:rsidRPr="004C48F1" w:rsidRDefault="00EA4FFB" w:rsidP="00EA4FFB">
                  <w:pPr>
                    <w:pStyle w:val="TableBodyText"/>
                    <w:jc w:val="left"/>
                  </w:pPr>
                  <w:r w:rsidRPr="004C48F1">
                    <w:t>NT</w:t>
                  </w:r>
                </w:p>
              </w:tc>
              <w:tc>
                <w:tcPr>
                  <w:tcW w:w="4333" w:type="pct"/>
                  <w:tcBorders>
                    <w:bottom w:val="single" w:sz="6" w:space="0" w:color="BFBFBF"/>
                  </w:tcBorders>
                </w:tcPr>
                <w:p w14:paraId="67C38D7F" w14:textId="77777777" w:rsidR="0019479E" w:rsidRPr="004C48F1" w:rsidRDefault="0019479E" w:rsidP="0019479E">
                  <w:pPr>
                    <w:pStyle w:val="TableBodyText"/>
                    <w:ind w:right="28"/>
                    <w:jc w:val="both"/>
                  </w:pPr>
                  <w:r w:rsidRPr="004C48F1">
                    <w:t>Dwellings owned or leased by the Department of Local Government, Housing and Community Development and managed by community organisations to house and support tenants, and any dwellings set aside for this purpose.</w:t>
                  </w:r>
                </w:p>
                <w:p w14:paraId="11E9F099" w14:textId="54184190" w:rsidR="00EA4FFB" w:rsidRDefault="0019479E" w:rsidP="0019479E">
                  <w:pPr>
                    <w:pStyle w:val="TableBodyText"/>
                    <w:ind w:right="28"/>
                    <w:jc w:val="both"/>
                  </w:pPr>
                  <w:r w:rsidRPr="004C48F1">
                    <w:t>This includes dwellings allocated to the Community Housing Program and transitional accommodation programs.</w:t>
                  </w:r>
                </w:p>
              </w:tc>
            </w:tr>
          </w:tbl>
          <w:p w14:paraId="17994BB6" w14:textId="77777777" w:rsidR="00EA4FFB" w:rsidRDefault="00EA4FFB" w:rsidP="00845342">
            <w:pPr>
              <w:pStyle w:val="Box"/>
            </w:pPr>
          </w:p>
        </w:tc>
      </w:tr>
      <w:tr w:rsidR="00EA4FFB" w14:paraId="7308DC18" w14:textId="77777777" w:rsidTr="00845342">
        <w:tc>
          <w:tcPr>
            <w:tcW w:w="5000" w:type="pct"/>
            <w:tcBorders>
              <w:top w:val="nil"/>
              <w:left w:val="nil"/>
              <w:bottom w:val="nil"/>
              <w:right w:val="nil"/>
            </w:tcBorders>
            <w:shd w:val="clear" w:color="auto" w:fill="auto"/>
          </w:tcPr>
          <w:p w14:paraId="4086160E" w14:textId="0755D212" w:rsidR="00EA4FFB" w:rsidRDefault="00F916DB" w:rsidP="00F916DB">
            <w:pPr>
              <w:pStyle w:val="Source"/>
            </w:pPr>
            <w:r>
              <w:rPr>
                <w:i/>
              </w:rPr>
              <w:t>Source</w:t>
            </w:r>
            <w:r w:rsidR="00EA4FFB" w:rsidRPr="00167F06">
              <w:t xml:space="preserve">: </w:t>
            </w:r>
            <w:r w:rsidRPr="00232C69">
              <w:rPr>
                <w:szCs w:val="18"/>
              </w:rPr>
              <w:t>AIHW (unpublished).</w:t>
            </w:r>
          </w:p>
        </w:tc>
      </w:tr>
      <w:tr w:rsidR="00EA4FFB" w14:paraId="6314B25A" w14:textId="77777777" w:rsidTr="00845342">
        <w:tc>
          <w:tcPr>
            <w:tcW w:w="5000" w:type="pct"/>
            <w:tcBorders>
              <w:top w:val="nil"/>
              <w:left w:val="nil"/>
              <w:bottom w:val="single" w:sz="6" w:space="0" w:color="78A22F"/>
              <w:right w:val="nil"/>
            </w:tcBorders>
            <w:shd w:val="clear" w:color="auto" w:fill="auto"/>
          </w:tcPr>
          <w:p w14:paraId="35F069B9" w14:textId="77777777" w:rsidR="00EA4FFB" w:rsidRDefault="00EA4FFB" w:rsidP="00845342">
            <w:pPr>
              <w:pStyle w:val="Box"/>
              <w:spacing w:before="0" w:line="120" w:lineRule="exact"/>
            </w:pPr>
          </w:p>
        </w:tc>
      </w:tr>
      <w:tr w:rsidR="00EA4FFB" w:rsidRPr="000863A5" w14:paraId="3D067A9B" w14:textId="77777777" w:rsidTr="00845342">
        <w:tc>
          <w:tcPr>
            <w:tcW w:w="5000" w:type="pct"/>
            <w:tcBorders>
              <w:top w:val="single" w:sz="6" w:space="0" w:color="78A22F"/>
              <w:left w:val="nil"/>
              <w:bottom w:val="nil"/>
              <w:right w:val="nil"/>
            </w:tcBorders>
          </w:tcPr>
          <w:p w14:paraId="2C0AFFDD" w14:textId="4EF1339D" w:rsidR="00EA4FFB" w:rsidRPr="00626D32" w:rsidRDefault="00EA4FFB" w:rsidP="00845342">
            <w:pPr>
              <w:pStyle w:val="BoxSpaceBelow"/>
            </w:pPr>
          </w:p>
        </w:tc>
      </w:tr>
    </w:tbl>
    <w:p w14:paraId="50C7A2F4" w14:textId="3DF7BED9" w:rsidR="004B2A15" w:rsidRPr="004B2A15" w:rsidRDefault="00060D89" w:rsidP="00F916DB">
      <w:pPr>
        <w:pStyle w:val="Heading2"/>
      </w:pPr>
      <w:bookmarkStart w:id="6" w:name="_Toc27564451"/>
      <w:r>
        <w:t>18.2</w:t>
      </w:r>
      <w:r w:rsidR="00536344">
        <w:tab/>
      </w:r>
      <w:r w:rsidR="00F23046">
        <w:t>I</w:t>
      </w:r>
      <w:r w:rsidR="004B2A15" w:rsidRPr="004B2A15">
        <w:t>ndicators</w:t>
      </w:r>
      <w:bookmarkEnd w:id="6"/>
    </w:p>
    <w:p w14:paraId="15C34DEC" w14:textId="6287EA5A" w:rsidR="004B2A15" w:rsidRDefault="004B2A15" w:rsidP="004B2A15">
      <w:pPr>
        <w:pStyle w:val="BodyText"/>
      </w:pPr>
      <w:r>
        <w:t xml:space="preserve">Different delivery contexts, locations and types of clients can affect the equity, </w:t>
      </w:r>
      <w:proofErr w:type="gramStart"/>
      <w:r>
        <w:t>effectiveness</w:t>
      </w:r>
      <w:proofErr w:type="gramEnd"/>
      <w:r>
        <w:t xml:space="preserve"> and </w:t>
      </w:r>
      <w:r w:rsidRPr="000549CB">
        <w:t xml:space="preserve">efficiency </w:t>
      </w:r>
      <w:r w:rsidR="000C0B75" w:rsidRPr="000549CB">
        <w:t>of social housing services</w:t>
      </w:r>
      <w:r w:rsidRPr="000549CB">
        <w:t>.</w:t>
      </w:r>
    </w:p>
    <w:p w14:paraId="00912411" w14:textId="200DE140" w:rsidR="004B2A15" w:rsidRDefault="004B2A15" w:rsidP="004B2A15">
      <w:pPr>
        <w:pStyle w:val="BodyText"/>
      </w:pPr>
      <w:r>
        <w:t xml:space="preserve">The comparability of performance indicator results </w:t>
      </w:r>
      <w:r w:rsidR="00EA5B0D">
        <w:t>is</w:t>
      </w:r>
      <w:r>
        <w:t xml:space="preserve"> shaded in indicator interpretation boxes, figures and data tables as follows:</w:t>
      </w:r>
    </w:p>
    <w:p w14:paraId="5B213EAC" w14:textId="77777777" w:rsidR="00F90583" w:rsidRDefault="00F90583" w:rsidP="00F90583">
      <w:pPr>
        <w:pStyle w:val="BodyText"/>
      </w:pPr>
      <w:r w:rsidRPr="00FA2246">
        <w:rPr>
          <w:shd w:val="clear" w:color="auto" w:fill="F15A25"/>
        </w:rPr>
        <w:t xml:space="preserve">    </w:t>
      </w:r>
      <w:r w:rsidR="004B2A15">
        <w:t xml:space="preserve"> Data are comparable (subject to caveats) across jurisdictions and</w:t>
      </w:r>
      <w:r>
        <w:t xml:space="preserve"> over time.</w:t>
      </w:r>
    </w:p>
    <w:p w14:paraId="256E238E" w14:textId="77777777" w:rsidR="004B2A15" w:rsidRDefault="00F90583" w:rsidP="00F90583">
      <w:pPr>
        <w:pStyle w:val="BodyText"/>
      </w:pPr>
      <w:r w:rsidRPr="00057E12">
        <w:rPr>
          <w:shd w:val="clear" w:color="auto" w:fill="FCDED3"/>
        </w:rPr>
        <w:t xml:space="preserve">    </w:t>
      </w:r>
      <w:r w:rsidR="004B2A15">
        <w:t xml:space="preserve"> Data are either not comparable (subject to caveats) within jurisdictions over time or are not comparable across jurisdictions or both.</w:t>
      </w:r>
    </w:p>
    <w:p w14:paraId="0D56C014" w14:textId="15F1230D" w:rsidR="004B2A15" w:rsidRDefault="004B2A15" w:rsidP="004B2A15">
      <w:pPr>
        <w:pStyle w:val="BodyText"/>
      </w:pPr>
      <w:r>
        <w:lastRenderedPageBreak/>
        <w:t xml:space="preserve">The completeness of performance indicator results </w:t>
      </w:r>
      <w:r w:rsidR="00EA5B0D">
        <w:t>is</w:t>
      </w:r>
      <w:r>
        <w:t xml:space="preserve"> shaded in indicator interpretation boxes, figures and data tables as follows:</w:t>
      </w:r>
    </w:p>
    <w:p w14:paraId="5413694D" w14:textId="77777777" w:rsidR="004B2A15" w:rsidRDefault="00F90583" w:rsidP="004B2A15">
      <w:pPr>
        <w:pStyle w:val="BodyText"/>
      </w:pPr>
      <w:r w:rsidRPr="00FA2246">
        <w:rPr>
          <w:shd w:val="clear" w:color="auto" w:fill="F15A25"/>
        </w:rPr>
        <w:t xml:space="preserve">    </w:t>
      </w:r>
      <w:r w:rsidR="004B2A15">
        <w:t xml:space="preserve"> Data are complete (subject to caveats) for the current reporting period. All required data are available for all jurisdictions.</w:t>
      </w:r>
    </w:p>
    <w:p w14:paraId="07BB84FE" w14:textId="77777777" w:rsidR="004B2A15" w:rsidRDefault="00F90583" w:rsidP="004B2A15">
      <w:pPr>
        <w:pStyle w:val="BodyText"/>
      </w:pPr>
      <w:r w:rsidRPr="00057E12">
        <w:rPr>
          <w:shd w:val="clear" w:color="auto" w:fill="FCDED3"/>
        </w:rPr>
        <w:t xml:space="preserve">    </w:t>
      </w:r>
      <w:r w:rsidR="004B2A15">
        <w:t xml:space="preserve"> Data are incomplete for the current reporting period. At least some data were not available.</w:t>
      </w:r>
    </w:p>
    <w:p w14:paraId="3FE9CBD5" w14:textId="3348DD5C" w:rsidR="004B2A15" w:rsidRDefault="004B2A15" w:rsidP="00451F18">
      <w:pPr>
        <w:pStyle w:val="Heading3"/>
        <w:tabs>
          <w:tab w:val="left" w:pos="5600"/>
        </w:tabs>
      </w:pPr>
      <w:bookmarkStart w:id="7" w:name="_Toc27564452"/>
      <w:r>
        <w:t>Outputs</w:t>
      </w:r>
      <w:bookmarkEnd w:id="7"/>
      <w:r w:rsidR="00451F18">
        <w:tab/>
      </w:r>
    </w:p>
    <w:p w14:paraId="073D6FC4" w14:textId="6CF4BF97" w:rsidR="004B2A15" w:rsidRDefault="004B2A15" w:rsidP="004B2A15">
      <w:pPr>
        <w:pStyle w:val="BodyText"/>
      </w:pPr>
      <w:r>
        <w:t>Outputs are the actual services delivered (while outcomes are the impact of these services on the status of an individual or group) (see section</w:t>
      </w:r>
      <w:r w:rsidR="00C47BFD">
        <w:t> </w:t>
      </w:r>
      <w:r>
        <w:t xml:space="preserve">1). Output information is also critical for equitable, </w:t>
      </w:r>
      <w:proofErr w:type="gramStart"/>
      <w:r>
        <w:t>efficient</w:t>
      </w:r>
      <w:proofErr w:type="gramEnd"/>
      <w:r>
        <w:t xml:space="preserve"> and effective management of government services.</w:t>
      </w:r>
    </w:p>
    <w:p w14:paraId="5AF56D52" w14:textId="77777777" w:rsidR="00F90583" w:rsidRPr="00E00B00" w:rsidRDefault="00F90583" w:rsidP="00F90583">
      <w:pPr>
        <w:pStyle w:val="Heading3"/>
      </w:pPr>
      <w:bookmarkStart w:id="8" w:name="_Toc3322818"/>
      <w:bookmarkStart w:id="9" w:name="_Toc27564453"/>
      <w:r>
        <w:t>Equity</w:t>
      </w:r>
      <w:bookmarkEnd w:id="8"/>
      <w:bookmarkEnd w:id="9"/>
    </w:p>
    <w:p w14:paraId="146FC8B2" w14:textId="6CE86E8B" w:rsidR="00F90583" w:rsidRDefault="00F90583" w:rsidP="00F90583">
      <w:pPr>
        <w:pStyle w:val="Heading4"/>
      </w:pPr>
      <w:bookmarkStart w:id="10" w:name="_Toc3322819"/>
      <w:bookmarkStart w:id="11" w:name="_Toc27564454"/>
      <w:r>
        <w:t>Access —</w:t>
      </w:r>
      <w:r w:rsidR="00E53002">
        <w:t xml:space="preserve"> </w:t>
      </w:r>
      <w:r w:rsidR="00E53002" w:rsidRPr="00E53002">
        <w:t>Priority access to those in greatest need</w:t>
      </w:r>
      <w:bookmarkEnd w:id="10"/>
      <w:bookmarkEnd w:id="11"/>
    </w:p>
    <w:p w14:paraId="02AB93CE" w14:textId="0C9C2994" w:rsidR="00E53002" w:rsidRPr="00E53002" w:rsidRDefault="00E53002" w:rsidP="00E53002">
      <w:pPr>
        <w:pStyle w:val="BodyText"/>
      </w:pPr>
      <w:r w:rsidRPr="00E53002">
        <w:t>‘Priority access to those in greatest need’ is a proxy indicator of governments’ objective to provide services in an equitable manner (box</w:t>
      </w:r>
      <w:r w:rsidR="00C47BFD">
        <w:t> </w:t>
      </w:r>
      <w:r w:rsidRPr="00E53002">
        <w:t>18.1).</w:t>
      </w:r>
    </w:p>
    <w:p w14:paraId="1F730957" w14:textId="1655FDFB" w:rsidR="00F90583" w:rsidRDefault="00F9058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0583" w14:paraId="1F6B2364" w14:textId="77777777" w:rsidTr="00A4323F">
        <w:trPr>
          <w:tblHeader/>
        </w:trPr>
        <w:tc>
          <w:tcPr>
            <w:tcW w:w="5000" w:type="pct"/>
            <w:tcBorders>
              <w:top w:val="single" w:sz="6" w:space="0" w:color="78A22F"/>
              <w:left w:val="nil"/>
              <w:bottom w:val="nil"/>
              <w:right w:val="nil"/>
            </w:tcBorders>
            <w:shd w:val="clear" w:color="auto" w:fill="F2F2F2"/>
          </w:tcPr>
          <w:p w14:paraId="1B3A1CAF" w14:textId="3A8F7600" w:rsidR="00F90583" w:rsidRDefault="00F90583" w:rsidP="00E53002">
            <w:pPr>
              <w:pStyle w:val="BoxTitle"/>
            </w:pPr>
            <w:r>
              <w:rPr>
                <w:b w:val="0"/>
              </w:rPr>
              <w:t xml:space="preserve">Box </w:t>
            </w:r>
            <w:r w:rsidR="000C7D74">
              <w:rPr>
                <w:b w:val="0"/>
              </w:rPr>
              <w:t>18.</w:t>
            </w:r>
            <w:r w:rsidR="004F1E16">
              <w:rPr>
                <w:b w:val="0"/>
                <w:noProof/>
              </w:rPr>
              <w:t>1</w:t>
            </w:r>
            <w:r>
              <w:tab/>
            </w:r>
            <w:r w:rsidR="00E53002" w:rsidRPr="00E53002">
              <w:t>Priority access to those in greatest need</w:t>
            </w:r>
          </w:p>
        </w:tc>
      </w:tr>
      <w:tr w:rsidR="00F90583" w14:paraId="7611E5FD" w14:textId="77777777" w:rsidTr="00A4323F">
        <w:tc>
          <w:tcPr>
            <w:tcW w:w="5000" w:type="pct"/>
            <w:tcBorders>
              <w:top w:val="nil"/>
              <w:left w:val="nil"/>
              <w:bottom w:val="nil"/>
              <w:right w:val="nil"/>
            </w:tcBorders>
            <w:shd w:val="clear" w:color="auto" w:fill="F2F2F2"/>
          </w:tcPr>
          <w:p w14:paraId="6E255FCC" w14:textId="77777777" w:rsidR="00E53002" w:rsidRDefault="00E53002" w:rsidP="00E53002">
            <w:pPr>
              <w:pStyle w:val="Box"/>
            </w:pPr>
            <w:r>
              <w:t>‘Priority access to those in greatest need’ is defined as the proportion of new housing allocations that were to households in greatest need.</w:t>
            </w:r>
          </w:p>
          <w:p w14:paraId="2AD918AF" w14:textId="77777777" w:rsidR="00E53002" w:rsidRDefault="00E53002" w:rsidP="00E53002">
            <w:pPr>
              <w:pStyle w:val="Box"/>
            </w:pPr>
            <w:r>
              <w:t>Greatest need households are defined as households that at the time of allocation are homeless, in housing inappropriate to their needs, in housing that is adversely affecting their health or placing their life and safety at risk, or, have very high rental housing costs.</w:t>
            </w:r>
          </w:p>
          <w:p w14:paraId="6594C9EA" w14:textId="4A0CAC9A" w:rsidR="00E53002" w:rsidRDefault="00E53002" w:rsidP="00E53002">
            <w:pPr>
              <w:pStyle w:val="Box"/>
            </w:pPr>
            <w:r>
              <w:t>This is a partial proxy indicator as information is not provided about the proportion of households on the waiting list that are ‘greatest need’ households. Households that are in greatest need are more likely to have members with special needs, and there may be overlap between special needs and greatest need groups (AIHW 20</w:t>
            </w:r>
            <w:r w:rsidR="003D09D1">
              <w:t>20</w:t>
            </w:r>
            <w:r>
              <w:t>). A high or increasing proportion, particularly for short timeframes, may indicate a high degree of access for those households in greatest need.</w:t>
            </w:r>
          </w:p>
          <w:p w14:paraId="604545BF" w14:textId="77777777" w:rsidR="00E53002" w:rsidRDefault="00E53002" w:rsidP="00E53002">
            <w:pPr>
              <w:pStyle w:val="Box"/>
            </w:pPr>
            <w:r w:rsidRPr="00956E84">
              <w:t xml:space="preserve">Data for this </w:t>
            </w:r>
            <w:r>
              <w:t>measure</w:t>
            </w:r>
            <w:r w:rsidRPr="00956E84">
              <w:t xml:space="preserve"> are reported for public housing, SOMIH and community housing</w:t>
            </w:r>
            <w:r>
              <w:t xml:space="preserve"> and</w:t>
            </w:r>
            <w:r w:rsidRPr="00956E84">
              <w:t xml:space="preserve"> are:</w:t>
            </w:r>
          </w:p>
          <w:p w14:paraId="102BDF96" w14:textId="77777777" w:rsidR="00E53002" w:rsidRDefault="00E53002" w:rsidP="00E53002">
            <w:pPr>
              <w:pStyle w:val="BoxListBullet"/>
              <w:numPr>
                <w:ilvl w:val="0"/>
                <w:numId w:val="0"/>
              </w:numPr>
              <w:ind w:left="284"/>
            </w:pPr>
            <w:r w:rsidRPr="00C66F12">
              <w:rPr>
                <w:shd w:val="clear" w:color="auto" w:fill="FCDED3"/>
              </w:rPr>
              <w:t xml:space="preserve">    </w:t>
            </w:r>
            <w:r>
              <w:t xml:space="preserve"> </w:t>
            </w:r>
            <w:r w:rsidRPr="00514836">
              <w:t xml:space="preserve">not comparable across public housing, SOMIH and community housing and not comparable across jurisdictions or within some jurisdictions over time (see caveats in </w:t>
            </w:r>
            <w:r>
              <w:t>data</w:t>
            </w:r>
            <w:r w:rsidRPr="00514836">
              <w:t xml:space="preserve"> tables for specific jurisdictions)</w:t>
            </w:r>
          </w:p>
          <w:p w14:paraId="6C39878C" w14:textId="496B994E" w:rsidR="00F90583" w:rsidRDefault="00E53002" w:rsidP="00C62719">
            <w:pPr>
              <w:pStyle w:val="BoxListBullet"/>
              <w:numPr>
                <w:ilvl w:val="0"/>
                <w:numId w:val="0"/>
              </w:numPr>
              <w:ind w:left="284"/>
            </w:pPr>
            <w:r w:rsidRPr="00C66F12">
              <w:rPr>
                <w:shd w:val="clear" w:color="auto" w:fill="FCDED3"/>
              </w:rPr>
              <w:t xml:space="preserve">    </w:t>
            </w:r>
            <w:r>
              <w:t xml:space="preserve"> </w:t>
            </w:r>
            <w:r w:rsidRPr="003336F0">
              <w:t>incomplete for SOMIH and community housing for the current reporting period</w:t>
            </w:r>
            <w:r>
              <w:t xml:space="preserve"> (</w:t>
            </w:r>
            <w:r w:rsidRPr="00514836">
              <w:t xml:space="preserve">complete for public housing). </w:t>
            </w:r>
            <w:r w:rsidRPr="003336F0">
              <w:t xml:space="preserve">All required </w:t>
            </w:r>
            <w:r w:rsidR="00C62719">
              <w:t>2019</w:t>
            </w:r>
            <w:r w:rsidRPr="00360576">
              <w:noBreakHyphen/>
            </w:r>
            <w:r w:rsidR="00C62719">
              <w:t>20</w:t>
            </w:r>
            <w:r w:rsidRPr="00360576">
              <w:t xml:space="preserve"> </w:t>
            </w:r>
            <w:r w:rsidRPr="003336F0">
              <w:t>data are not available for</w:t>
            </w:r>
            <w:r>
              <w:t xml:space="preserve"> </w:t>
            </w:r>
            <w:r w:rsidRPr="008E0D3A">
              <w:t>Tasmania (SOMIH) and the NT (</w:t>
            </w:r>
            <w:r w:rsidR="008E0D3A" w:rsidRPr="00F960D2">
              <w:t xml:space="preserve">SOMIH and </w:t>
            </w:r>
            <w:r w:rsidRPr="00F960D2">
              <w:t>community housing).</w:t>
            </w:r>
          </w:p>
        </w:tc>
      </w:tr>
      <w:tr w:rsidR="00F90583" w14:paraId="50AEF62D" w14:textId="77777777" w:rsidTr="00A4323F">
        <w:tc>
          <w:tcPr>
            <w:tcW w:w="5000" w:type="pct"/>
            <w:tcBorders>
              <w:top w:val="nil"/>
              <w:left w:val="nil"/>
              <w:bottom w:val="single" w:sz="6" w:space="0" w:color="78A22F"/>
              <w:right w:val="nil"/>
            </w:tcBorders>
            <w:shd w:val="clear" w:color="auto" w:fill="F2F2F2"/>
          </w:tcPr>
          <w:p w14:paraId="27B11CEA" w14:textId="77777777" w:rsidR="00F90583" w:rsidRDefault="00F90583">
            <w:pPr>
              <w:pStyle w:val="Box"/>
              <w:spacing w:before="0" w:line="120" w:lineRule="exact"/>
            </w:pPr>
          </w:p>
        </w:tc>
      </w:tr>
      <w:tr w:rsidR="00F90583" w:rsidRPr="000863A5" w14:paraId="6C2659EC" w14:textId="77777777" w:rsidTr="00A4323F">
        <w:tc>
          <w:tcPr>
            <w:tcW w:w="5000" w:type="pct"/>
            <w:tcBorders>
              <w:top w:val="single" w:sz="6" w:space="0" w:color="78A22F"/>
              <w:left w:val="nil"/>
              <w:bottom w:val="nil"/>
              <w:right w:val="nil"/>
            </w:tcBorders>
          </w:tcPr>
          <w:p w14:paraId="63270CE3" w14:textId="7BFD47E4" w:rsidR="00F90583" w:rsidRPr="00626D32" w:rsidRDefault="00F90583" w:rsidP="00A4323F">
            <w:pPr>
              <w:pStyle w:val="BoxSpaceBelow"/>
            </w:pPr>
          </w:p>
        </w:tc>
      </w:tr>
    </w:tbl>
    <w:p w14:paraId="23674E64" w14:textId="77777777" w:rsidR="00E53002" w:rsidRDefault="00E53002" w:rsidP="00E53002">
      <w:pPr>
        <w:pStyle w:val="Heading4"/>
      </w:pPr>
      <w:bookmarkStart w:id="12" w:name="_Toc18675358"/>
      <w:bookmarkStart w:id="13" w:name="_Toc27564455"/>
      <w:r>
        <w:lastRenderedPageBreak/>
        <w:t>Access — Special needs</w:t>
      </w:r>
      <w:bookmarkEnd w:id="12"/>
      <w:bookmarkEnd w:id="13"/>
    </w:p>
    <w:p w14:paraId="4D370F18" w14:textId="77777777" w:rsidR="00E53002" w:rsidRDefault="00E53002" w:rsidP="00E53002">
      <w:pPr>
        <w:pStyle w:val="BodyText"/>
      </w:pPr>
      <w:r>
        <w:t xml:space="preserve">Access of ‘special needs’ groups to social housing </w:t>
      </w:r>
      <w:r w:rsidRPr="00A34FFE">
        <w:t>is an indicator of governments’ objective to provide</w:t>
      </w:r>
      <w:r>
        <w:t xml:space="preserve"> services in an equitable manner</w:t>
      </w:r>
      <w:r w:rsidRPr="00A34FFE">
        <w:t xml:space="preserve"> </w:t>
      </w:r>
      <w:r>
        <w:t>(box 18.2</w:t>
      </w:r>
      <w:r w:rsidRPr="00A34FFE">
        <w:t>).</w:t>
      </w:r>
    </w:p>
    <w:p w14:paraId="2102035A" w14:textId="77777777" w:rsidR="00E53002" w:rsidRDefault="00E53002" w:rsidP="00E530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53002" w14:paraId="7CB8922E" w14:textId="77777777" w:rsidTr="00A4323F">
        <w:tc>
          <w:tcPr>
            <w:tcW w:w="5000" w:type="pct"/>
            <w:tcBorders>
              <w:top w:val="single" w:sz="6" w:space="0" w:color="78A22F"/>
              <w:left w:val="nil"/>
              <w:bottom w:val="nil"/>
              <w:right w:val="nil"/>
            </w:tcBorders>
            <w:shd w:val="clear" w:color="auto" w:fill="F2F2F2" w:themeFill="background1" w:themeFillShade="F2"/>
          </w:tcPr>
          <w:p w14:paraId="654755EF" w14:textId="77777777" w:rsidR="00E53002" w:rsidRDefault="00E53002" w:rsidP="00A4323F">
            <w:pPr>
              <w:pStyle w:val="BoxTitle"/>
            </w:pPr>
            <w:r>
              <w:rPr>
                <w:b w:val="0"/>
              </w:rPr>
              <w:t>Box 18.2</w:t>
            </w:r>
            <w:r>
              <w:tab/>
              <w:t xml:space="preserve">Special needs </w:t>
            </w:r>
          </w:p>
        </w:tc>
      </w:tr>
      <w:tr w:rsidR="00E53002" w14:paraId="3528C41C" w14:textId="77777777" w:rsidTr="00A4323F">
        <w:trPr>
          <w:cantSplit/>
        </w:trPr>
        <w:tc>
          <w:tcPr>
            <w:tcW w:w="5000" w:type="pct"/>
            <w:tcBorders>
              <w:top w:val="nil"/>
              <w:left w:val="nil"/>
              <w:bottom w:val="nil"/>
              <w:right w:val="nil"/>
            </w:tcBorders>
            <w:shd w:val="clear" w:color="auto" w:fill="F2F2F2" w:themeFill="background1" w:themeFillShade="F2"/>
          </w:tcPr>
          <w:p w14:paraId="4FCCDF2D" w14:textId="77777777" w:rsidR="00E53002" w:rsidRPr="00D03993" w:rsidRDefault="00E53002" w:rsidP="00A4323F">
            <w:pPr>
              <w:pStyle w:val="Box"/>
            </w:pPr>
            <w:r w:rsidRPr="000A5330">
              <w:t xml:space="preserve">‘Special needs’ is defined as the proportion of new </w:t>
            </w:r>
            <w:r>
              <w:t>housing allocations that were to</w:t>
            </w:r>
            <w:r w:rsidRPr="000A5330">
              <w:t xml:space="preserve"> households with special needs.</w:t>
            </w:r>
          </w:p>
          <w:p w14:paraId="019AB3EB" w14:textId="77777777" w:rsidR="00E53002" w:rsidRPr="000A5330" w:rsidRDefault="00E53002" w:rsidP="00A4323F">
            <w:pPr>
              <w:pStyle w:val="Box"/>
            </w:pPr>
            <w:r w:rsidRPr="000A5330">
              <w:t>Special needs households are defined as households that at the time of allocation have:</w:t>
            </w:r>
          </w:p>
          <w:p w14:paraId="26F4E76F" w14:textId="77777777" w:rsidR="00E53002" w:rsidRPr="000A5330" w:rsidRDefault="00E53002" w:rsidP="00A4323F">
            <w:pPr>
              <w:pStyle w:val="BoxListBullet"/>
            </w:pPr>
            <w:r w:rsidRPr="000A5330">
              <w:t>for public housing and community housing — a household member with disability, a main tenant aged 24 years or under, a main tenant aged 75 years or over, and/or satisfy the Aboriginal and Torres Strait Islander household definition</w:t>
            </w:r>
          </w:p>
          <w:p w14:paraId="1C5F557C" w14:textId="77777777" w:rsidR="00E53002" w:rsidRPr="000A5330" w:rsidRDefault="00E53002" w:rsidP="00A4323F">
            <w:pPr>
              <w:pStyle w:val="BoxListBullet"/>
            </w:pPr>
            <w:r w:rsidRPr="000A5330">
              <w:t>for SOMIH — a household member with disability, a principal tenant aged 24 years or under and/or a principal tenant aged 50 years or over.</w:t>
            </w:r>
          </w:p>
          <w:p w14:paraId="105F31F5" w14:textId="77777777" w:rsidR="00E53002" w:rsidRPr="000A5330" w:rsidRDefault="00E53002" w:rsidP="00A4323F">
            <w:pPr>
              <w:pStyle w:val="Box"/>
            </w:pPr>
            <w:r w:rsidRPr="000A5330">
              <w:t>The proportion of new tenancies with special needs is reported as a proxy for measuring all households with special needs. A high or increasing proportion indicates high or increasing access by special needs households.</w:t>
            </w:r>
          </w:p>
          <w:p w14:paraId="2F0C2CCE" w14:textId="77777777" w:rsidR="00E53002" w:rsidRPr="000A5330" w:rsidRDefault="00E53002" w:rsidP="00A4323F">
            <w:pPr>
              <w:pStyle w:val="Box"/>
            </w:pPr>
            <w:r w:rsidRPr="000A5330">
              <w:t>Data for this measure are reported for public housing, SOMIH and community housing and are:</w:t>
            </w:r>
          </w:p>
          <w:p w14:paraId="011F9DCA" w14:textId="77777777" w:rsidR="00E53002" w:rsidRPr="000A5330" w:rsidRDefault="00E53002" w:rsidP="00A4323F">
            <w:pPr>
              <w:pStyle w:val="BoxListBullet"/>
              <w:numPr>
                <w:ilvl w:val="0"/>
                <w:numId w:val="0"/>
              </w:numPr>
              <w:ind w:left="284"/>
            </w:pPr>
            <w:r w:rsidRPr="00EE78CC">
              <w:rPr>
                <w:shd w:val="clear" w:color="auto" w:fill="FCDED3"/>
              </w:rPr>
              <w:t xml:space="preserve">    </w:t>
            </w:r>
            <w:r>
              <w:t xml:space="preserve"> </w:t>
            </w:r>
            <w:r w:rsidRPr="005E7631">
              <w:t xml:space="preserve">not comparable across public housing, SOMIH and community housing and not comparable across jurisdictions or within some jurisdictions over time (see caveats in </w:t>
            </w:r>
            <w:r>
              <w:t>data</w:t>
            </w:r>
            <w:r w:rsidRPr="005E7631">
              <w:t xml:space="preserve"> tables for specific jurisdictions)</w:t>
            </w:r>
          </w:p>
          <w:p w14:paraId="34F4FA08" w14:textId="374E3CB2" w:rsidR="00E53002" w:rsidRPr="00205635" w:rsidRDefault="00E53002" w:rsidP="00742D1C">
            <w:pPr>
              <w:pStyle w:val="BoxListBullet"/>
              <w:numPr>
                <w:ilvl w:val="0"/>
                <w:numId w:val="0"/>
              </w:numPr>
              <w:ind w:left="284"/>
            </w:pPr>
            <w:r w:rsidRPr="00EE78CC">
              <w:rPr>
                <w:shd w:val="clear" w:color="auto" w:fill="FCDED3"/>
              </w:rPr>
              <w:t xml:space="preserve">    </w:t>
            </w:r>
            <w:r>
              <w:t xml:space="preserve"> </w:t>
            </w:r>
            <w:r w:rsidRPr="000A5330">
              <w:t>incomplete for community housing for the current reporting period</w:t>
            </w:r>
            <w:r>
              <w:t xml:space="preserve"> </w:t>
            </w:r>
            <w:r w:rsidRPr="00A8450A">
              <w:t>(comp</w:t>
            </w:r>
            <w:r>
              <w:t>l</w:t>
            </w:r>
            <w:r w:rsidRPr="00A8450A">
              <w:t>ete for public housing and SOMIH)</w:t>
            </w:r>
            <w:r w:rsidRPr="000A5330">
              <w:t xml:space="preserve">. All required </w:t>
            </w:r>
            <w:r w:rsidRPr="00360576">
              <w:t>201</w:t>
            </w:r>
            <w:r w:rsidR="00742D1C">
              <w:t>9</w:t>
            </w:r>
            <w:r w:rsidRPr="00360576">
              <w:noBreakHyphen/>
            </w:r>
            <w:r w:rsidR="00EC0F18">
              <w:t>2</w:t>
            </w:r>
            <w:r w:rsidR="00742D1C">
              <w:t>0</w:t>
            </w:r>
            <w:r w:rsidRPr="005A09B0">
              <w:rPr>
                <w:color w:val="FF0000"/>
              </w:rPr>
              <w:t xml:space="preserve"> </w:t>
            </w:r>
            <w:r w:rsidRPr="00AF2204">
              <w:t xml:space="preserve">community housing </w:t>
            </w:r>
            <w:r w:rsidRPr="00F960D2">
              <w:t>data are not available for the NT.</w:t>
            </w:r>
            <w:r w:rsidRPr="000A5330">
              <w:t xml:space="preserve"> </w:t>
            </w:r>
          </w:p>
        </w:tc>
      </w:tr>
      <w:tr w:rsidR="00E53002" w14:paraId="09D0A3DC" w14:textId="77777777" w:rsidTr="00A4323F">
        <w:trPr>
          <w:cantSplit/>
        </w:trPr>
        <w:tc>
          <w:tcPr>
            <w:tcW w:w="5000" w:type="pct"/>
            <w:tcBorders>
              <w:top w:val="nil"/>
              <w:left w:val="nil"/>
              <w:bottom w:val="single" w:sz="6" w:space="0" w:color="78A22F"/>
              <w:right w:val="nil"/>
            </w:tcBorders>
            <w:shd w:val="clear" w:color="auto" w:fill="F2F2F2" w:themeFill="background1" w:themeFillShade="F2"/>
          </w:tcPr>
          <w:p w14:paraId="77F84088" w14:textId="77777777" w:rsidR="00E53002" w:rsidRDefault="00E53002" w:rsidP="00A4323F">
            <w:pPr>
              <w:pStyle w:val="Box"/>
              <w:spacing w:before="0" w:line="120" w:lineRule="exact"/>
            </w:pPr>
          </w:p>
        </w:tc>
      </w:tr>
      <w:tr w:rsidR="00E53002" w:rsidRPr="00E53002" w14:paraId="1D9AE4F4" w14:textId="77777777" w:rsidTr="006A0004">
        <w:trPr>
          <w:cantSplit/>
        </w:trPr>
        <w:tc>
          <w:tcPr>
            <w:tcW w:w="5000" w:type="pct"/>
            <w:tcBorders>
              <w:top w:val="nil"/>
              <w:left w:val="nil"/>
              <w:bottom w:val="nil"/>
              <w:right w:val="nil"/>
            </w:tcBorders>
            <w:shd w:val="clear" w:color="auto" w:fill="auto"/>
          </w:tcPr>
          <w:p w14:paraId="242AEB8A" w14:textId="77777777" w:rsidR="00E53002" w:rsidRPr="00E53002" w:rsidRDefault="00E53002" w:rsidP="00E53002">
            <w:pPr>
              <w:pStyle w:val="BoxSpaceBelow"/>
            </w:pPr>
          </w:p>
        </w:tc>
      </w:tr>
    </w:tbl>
    <w:p w14:paraId="5A4E139F" w14:textId="77777777" w:rsidR="00E53002" w:rsidRPr="003770C0" w:rsidRDefault="00E53002" w:rsidP="00E53002">
      <w:pPr>
        <w:pStyle w:val="Heading3"/>
      </w:pPr>
      <w:bookmarkStart w:id="14" w:name="_Toc18675359"/>
      <w:bookmarkStart w:id="15" w:name="_Toc27564456"/>
      <w:r>
        <w:t>Effectiveness</w:t>
      </w:r>
      <w:bookmarkEnd w:id="14"/>
      <w:bookmarkEnd w:id="15"/>
    </w:p>
    <w:p w14:paraId="447FEE7D" w14:textId="77777777" w:rsidR="001E523D" w:rsidRDefault="001E523D" w:rsidP="001E523D">
      <w:pPr>
        <w:pStyle w:val="Heading4"/>
      </w:pPr>
      <w:bookmarkStart w:id="16" w:name="_Toc18675360"/>
      <w:bookmarkStart w:id="17" w:name="_Toc27564457"/>
      <w:r>
        <w:t>Access — Affordability</w:t>
      </w:r>
      <w:bookmarkEnd w:id="16"/>
      <w:bookmarkEnd w:id="17"/>
    </w:p>
    <w:p w14:paraId="7AED0B8C" w14:textId="77777777" w:rsidR="001E523D" w:rsidRDefault="001E523D" w:rsidP="001E523D">
      <w:pPr>
        <w:pStyle w:val="BodyText"/>
      </w:pPr>
      <w:r w:rsidRPr="00DA73E5">
        <w:t xml:space="preserve">‘Affordability’ is an indicator of governments’ objective to provide </w:t>
      </w:r>
      <w:r>
        <w:t xml:space="preserve">services that are </w:t>
      </w:r>
      <w:r w:rsidRPr="00DA73E5">
        <w:t>affordable (box</w:t>
      </w:r>
      <w:r>
        <w:t> 18.3</w:t>
      </w:r>
      <w:r w:rsidRPr="00DA73E5">
        <w:t>).</w:t>
      </w:r>
    </w:p>
    <w:p w14:paraId="53DF7758" w14:textId="3EBC017F"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708E3C20" w14:textId="77777777" w:rsidTr="00A4323F">
        <w:trPr>
          <w:tblHeader/>
        </w:trPr>
        <w:tc>
          <w:tcPr>
            <w:tcW w:w="5000" w:type="pct"/>
            <w:tcBorders>
              <w:top w:val="single" w:sz="6" w:space="0" w:color="78A22F"/>
              <w:left w:val="nil"/>
              <w:bottom w:val="nil"/>
              <w:right w:val="nil"/>
            </w:tcBorders>
            <w:shd w:val="clear" w:color="auto" w:fill="F2F2F2"/>
          </w:tcPr>
          <w:p w14:paraId="3EF24D5A" w14:textId="55B03150" w:rsidR="001E523D" w:rsidRPr="00982443" w:rsidRDefault="001E523D" w:rsidP="001940EB">
            <w:pPr>
              <w:pStyle w:val="BoxTitle"/>
              <w:rPr>
                <w:rStyle w:val="DraftingNote"/>
              </w:rPr>
            </w:pPr>
            <w:r>
              <w:rPr>
                <w:b w:val="0"/>
              </w:rPr>
              <w:t>Box 18.3</w:t>
            </w:r>
            <w:r>
              <w:tab/>
              <w:t>Affordability</w:t>
            </w:r>
          </w:p>
        </w:tc>
      </w:tr>
      <w:tr w:rsidR="001E523D" w14:paraId="0DAFE1DF" w14:textId="77777777" w:rsidTr="00A4323F">
        <w:tc>
          <w:tcPr>
            <w:tcW w:w="5000" w:type="pct"/>
            <w:tcBorders>
              <w:top w:val="nil"/>
              <w:left w:val="nil"/>
              <w:bottom w:val="nil"/>
              <w:right w:val="nil"/>
            </w:tcBorders>
            <w:shd w:val="clear" w:color="auto" w:fill="F2F2F2"/>
          </w:tcPr>
          <w:p w14:paraId="1BA58DF0" w14:textId="527BBE5B" w:rsidR="001E523D" w:rsidRDefault="001E523D" w:rsidP="00A4323F">
            <w:pPr>
              <w:pStyle w:val="Box"/>
            </w:pPr>
            <w:r w:rsidRPr="0022319C">
              <w:t xml:space="preserve">‘Affordability’ is defined as </w:t>
            </w:r>
            <w:r>
              <w:t>the financial capacity of low</w:t>
            </w:r>
            <w:r w:rsidR="003376B0">
              <w:noBreakHyphen/>
            </w:r>
            <w:r>
              <w:t>income households in</w:t>
            </w:r>
            <w:r w:rsidRPr="0022319C">
              <w:t xml:space="preserve"> </w:t>
            </w:r>
            <w:r>
              <w:t xml:space="preserve">social housing </w:t>
            </w:r>
            <w:r w:rsidRPr="0022319C">
              <w:t xml:space="preserve">to </w:t>
            </w:r>
            <w:r>
              <w:t xml:space="preserve">meet rental costs. It is measured as the proportion of </w:t>
            </w:r>
            <w:r w:rsidRPr="00131C1E">
              <w:t>low</w:t>
            </w:r>
            <w:r w:rsidR="003376B0">
              <w:noBreakHyphen/>
            </w:r>
            <w:r w:rsidRPr="00131C1E">
              <w:t>income social housing households in rental stress</w:t>
            </w:r>
            <w:r>
              <w:t>, where:</w:t>
            </w:r>
          </w:p>
          <w:p w14:paraId="394302D6" w14:textId="77777777" w:rsidR="001E523D" w:rsidRDefault="001E523D" w:rsidP="00A4323F">
            <w:pPr>
              <w:pStyle w:val="BoxListBullet"/>
            </w:pPr>
            <w:r>
              <w:t>‘rental stress’ is defined as spending more than 30 per cent of gross household income (excluding CRA) on rent</w:t>
            </w:r>
          </w:p>
          <w:p w14:paraId="34CCD074" w14:textId="05C372FF" w:rsidR="001E523D" w:rsidRDefault="001E523D" w:rsidP="007A1940">
            <w:pPr>
              <w:pStyle w:val="BoxListBullet"/>
            </w:pPr>
            <w:r>
              <w:t>low</w:t>
            </w:r>
            <w:r w:rsidR="003376B0">
              <w:softHyphen/>
            </w:r>
            <w:r w:rsidR="003376B0">
              <w:softHyphen/>
            </w:r>
            <w:r w:rsidR="003376B0">
              <w:noBreakHyphen/>
            </w:r>
            <w:r>
              <w:t xml:space="preserve">income households are defined as those in the bottom 40 per cent of equivalised gross household income (see </w:t>
            </w:r>
            <w:r w:rsidRPr="00B8159C">
              <w:t>section</w:t>
            </w:r>
            <w:r w:rsidR="00C47BFD">
              <w:t> </w:t>
            </w:r>
            <w:r w:rsidRPr="00B8159C">
              <w:t>18.</w:t>
            </w:r>
            <w:r w:rsidR="007A1940">
              <w:t>3</w:t>
            </w:r>
            <w:r>
              <w:t xml:space="preserve"> for further detail). Low</w:t>
            </w:r>
            <w:r w:rsidR="003376B0">
              <w:noBreakHyphen/>
            </w:r>
            <w:r>
              <w:t xml:space="preserve">income households are more likely to be adversely affected by relatively high housing costs than households with higher disposable incomes (Yates and Gabriel </w:t>
            </w:r>
            <w:r w:rsidR="00E76AA2">
              <w:t>2006; Yates and Milligan 2007).</w:t>
            </w:r>
          </w:p>
          <w:p w14:paraId="6AA1393C" w14:textId="1D4DB8DD" w:rsidR="00E76AA2" w:rsidRDefault="00E76AA2" w:rsidP="00E76AA2">
            <w:pPr>
              <w:pStyle w:val="Box"/>
            </w:pPr>
            <w:r w:rsidRPr="001924D9">
              <w:t>Rental stress is mitigated through rental subsidies provided to eligible low</w:t>
            </w:r>
            <w:r w:rsidR="003376B0">
              <w:noBreakHyphen/>
            </w:r>
            <w:r w:rsidRPr="001924D9">
              <w:t xml:space="preserve">income social housing households by State and Territory governments. For public housing and SOMIH, rents are generally set at estimated market rates and subsidised for eligible households so that rental costs do not exceed a set proportion of assessable household income (25 per cent in most states </w:t>
            </w:r>
            <w:r>
              <w:t>and territories) (tables 18A.47–</w:t>
            </w:r>
            <w:r w:rsidRPr="001924D9">
              <w:t>49).</w:t>
            </w:r>
          </w:p>
          <w:p w14:paraId="461D910E" w14:textId="77777777" w:rsidR="00E76AA2" w:rsidRPr="0022319C" w:rsidRDefault="00E76AA2" w:rsidP="00E76AA2">
            <w:pPr>
              <w:pStyle w:val="Box"/>
            </w:pPr>
            <w:r w:rsidRPr="0022319C">
              <w:t xml:space="preserve">A low or decreasing proportion of </w:t>
            </w:r>
            <w:r>
              <w:t xml:space="preserve">social housing </w:t>
            </w:r>
            <w:r w:rsidRPr="0022319C">
              <w:t xml:space="preserve">households spending more than 30 per cent of their income on rent implies </w:t>
            </w:r>
            <w:r>
              <w:t xml:space="preserve">that social </w:t>
            </w:r>
            <w:r w:rsidRPr="0022319C">
              <w:t xml:space="preserve">housing </w:t>
            </w:r>
            <w:r>
              <w:t xml:space="preserve">is more </w:t>
            </w:r>
            <w:r w:rsidRPr="0022319C">
              <w:t>affordabl</w:t>
            </w:r>
            <w:r>
              <w:t>e</w:t>
            </w:r>
            <w:r w:rsidRPr="0022319C">
              <w:t>.</w:t>
            </w:r>
          </w:p>
          <w:p w14:paraId="7752B341" w14:textId="77777777" w:rsidR="00E76AA2" w:rsidRPr="0022319C" w:rsidRDefault="00E76AA2" w:rsidP="00E76AA2">
            <w:pPr>
              <w:pStyle w:val="Box"/>
            </w:pPr>
            <w:r>
              <w:t>Data for this measure are</w:t>
            </w:r>
            <w:r w:rsidRPr="0022319C">
              <w:t xml:space="preserve"> reported for public housin</w:t>
            </w:r>
            <w:r>
              <w:t>g, SOMIH and community housing and are</w:t>
            </w:r>
            <w:r w:rsidRPr="0022319C">
              <w:t>:</w:t>
            </w:r>
          </w:p>
          <w:p w14:paraId="3AB3B767" w14:textId="77777777" w:rsidR="00E76AA2" w:rsidRPr="0022319C" w:rsidRDefault="00E76AA2" w:rsidP="00E76AA2">
            <w:pPr>
              <w:pStyle w:val="BoxListBullet"/>
              <w:numPr>
                <w:ilvl w:val="0"/>
                <w:numId w:val="0"/>
              </w:numPr>
              <w:ind w:left="284"/>
            </w:pPr>
            <w:r w:rsidRPr="00EE78CC">
              <w:rPr>
                <w:shd w:val="clear" w:color="auto" w:fill="FCDED3"/>
              </w:rPr>
              <w:t xml:space="preserve">    </w:t>
            </w:r>
            <w:r>
              <w:t xml:space="preserve"> </w:t>
            </w:r>
            <w:r w:rsidRPr="00494031">
              <w:t xml:space="preserve">not comparable across public housing, SOMIH and community housing, but are comparable </w:t>
            </w:r>
            <w:r>
              <w:t xml:space="preserve">(subject to caveats) </w:t>
            </w:r>
            <w:r w:rsidRPr="00494031">
              <w:t>across jurisdictions</w:t>
            </w:r>
            <w:r>
              <w:t xml:space="preserve"> </w:t>
            </w:r>
            <w:r w:rsidRPr="00EF0530">
              <w:t>and over time</w:t>
            </w:r>
          </w:p>
          <w:p w14:paraId="5AD08CA1" w14:textId="18DAA110" w:rsidR="00E76AA2" w:rsidRDefault="00E76AA2" w:rsidP="00E76AA2">
            <w:pPr>
              <w:pStyle w:val="BoxListBullet"/>
              <w:numPr>
                <w:ilvl w:val="0"/>
                <w:numId w:val="0"/>
              </w:numPr>
              <w:ind w:left="284"/>
            </w:pPr>
            <w:r w:rsidRPr="00EE78CC">
              <w:rPr>
                <w:shd w:val="clear" w:color="auto" w:fill="FCDED3"/>
              </w:rPr>
              <w:t xml:space="preserve">    </w:t>
            </w:r>
            <w:r>
              <w:t xml:space="preserve"> in</w:t>
            </w:r>
            <w:r w:rsidRPr="00B5171D">
              <w:t>complete</w:t>
            </w:r>
            <w:r w:rsidRPr="0022319C">
              <w:t xml:space="preserve"> for the current reporting period</w:t>
            </w:r>
            <w:r>
              <w:t xml:space="preserve"> </w:t>
            </w:r>
            <w:r w:rsidRPr="00040091">
              <w:t xml:space="preserve">for SOMIH and </w:t>
            </w:r>
            <w:r w:rsidRPr="00F960D2">
              <w:t>community housing</w:t>
            </w:r>
            <w:r>
              <w:t xml:space="preserve"> </w:t>
            </w:r>
            <w:r w:rsidRPr="00494031">
              <w:t>(complete for public housing)</w:t>
            </w:r>
            <w:r>
              <w:t xml:space="preserve">. </w:t>
            </w:r>
            <w:r w:rsidRPr="0022319C">
              <w:t>All required</w:t>
            </w:r>
            <w:r>
              <w:t xml:space="preserve"> 30 </w:t>
            </w:r>
            <w:r w:rsidRPr="003336F0">
              <w:t>June</w:t>
            </w:r>
            <w:r>
              <w:t xml:space="preserve"> </w:t>
            </w:r>
            <w:r w:rsidRPr="000549CB">
              <w:t>20</w:t>
            </w:r>
            <w:r>
              <w:t>20</w:t>
            </w:r>
            <w:r w:rsidRPr="00040091">
              <w:t xml:space="preserve"> </w:t>
            </w:r>
            <w:r w:rsidRPr="003336F0">
              <w:t xml:space="preserve">data </w:t>
            </w:r>
            <w:r w:rsidRPr="0022319C">
              <w:t xml:space="preserve">are </w:t>
            </w:r>
            <w:r w:rsidRPr="00AF2204">
              <w:t>not available for the NT.</w:t>
            </w:r>
          </w:p>
        </w:tc>
      </w:tr>
      <w:tr w:rsidR="001E523D" w14:paraId="5D5FA41A" w14:textId="77777777" w:rsidTr="00A4323F">
        <w:tc>
          <w:tcPr>
            <w:tcW w:w="5000" w:type="pct"/>
            <w:tcBorders>
              <w:top w:val="nil"/>
              <w:left w:val="nil"/>
              <w:bottom w:val="single" w:sz="6" w:space="0" w:color="78A22F"/>
              <w:right w:val="nil"/>
            </w:tcBorders>
            <w:shd w:val="clear" w:color="auto" w:fill="F2F2F2"/>
          </w:tcPr>
          <w:p w14:paraId="0D324A78" w14:textId="77777777" w:rsidR="001E523D" w:rsidRDefault="001E523D" w:rsidP="00A4323F">
            <w:pPr>
              <w:pStyle w:val="Box"/>
              <w:spacing w:before="0" w:line="120" w:lineRule="exact"/>
            </w:pPr>
          </w:p>
        </w:tc>
      </w:tr>
      <w:tr w:rsidR="001E523D" w:rsidRPr="000863A5" w14:paraId="3442CE3C" w14:textId="77777777" w:rsidTr="00A4323F">
        <w:tc>
          <w:tcPr>
            <w:tcW w:w="5000" w:type="pct"/>
            <w:tcBorders>
              <w:top w:val="single" w:sz="6" w:space="0" w:color="78A22F"/>
              <w:left w:val="nil"/>
              <w:bottom w:val="nil"/>
              <w:right w:val="nil"/>
            </w:tcBorders>
          </w:tcPr>
          <w:p w14:paraId="3927505D" w14:textId="4D922ECA" w:rsidR="001E523D" w:rsidRPr="00626D32" w:rsidRDefault="001E523D" w:rsidP="00A4323F">
            <w:pPr>
              <w:pStyle w:val="BoxSpaceBelow"/>
            </w:pPr>
          </w:p>
        </w:tc>
      </w:tr>
    </w:tbl>
    <w:p w14:paraId="5C69B4BC" w14:textId="77777777" w:rsidR="001E523D" w:rsidRDefault="001E523D" w:rsidP="001E523D">
      <w:pPr>
        <w:pStyle w:val="Heading4"/>
        <w:spacing w:before="300"/>
      </w:pPr>
      <w:bookmarkStart w:id="18" w:name="_Toc18675361"/>
      <w:bookmarkStart w:id="19" w:name="_Toc27564458"/>
      <w:r w:rsidRPr="00A41BFA">
        <w:t>Wait times</w:t>
      </w:r>
      <w:bookmarkEnd w:id="18"/>
      <w:bookmarkEnd w:id="19"/>
    </w:p>
    <w:p w14:paraId="5E476AA9" w14:textId="77777777" w:rsidR="001E523D" w:rsidRDefault="001E523D" w:rsidP="001E523D">
      <w:pPr>
        <w:pStyle w:val="BodyText"/>
      </w:pPr>
      <w:r w:rsidRPr="00D33393">
        <w:t>‘Wait times’ is an indicator of government’s objective to provide services that are timely</w:t>
      </w:r>
      <w:r>
        <w:t xml:space="preserve"> (box 18.4)</w:t>
      </w:r>
      <w:r w:rsidRPr="00D33393">
        <w:t>.</w:t>
      </w:r>
    </w:p>
    <w:p w14:paraId="42F49E03" w14:textId="77777777" w:rsidR="001E523D" w:rsidRDefault="001E523D" w:rsidP="001E523D">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74370F50" w14:textId="77777777" w:rsidTr="00A4323F">
        <w:trPr>
          <w:tblHeader/>
        </w:trPr>
        <w:tc>
          <w:tcPr>
            <w:tcW w:w="5000" w:type="pct"/>
            <w:tcBorders>
              <w:top w:val="single" w:sz="6" w:space="0" w:color="78A22F"/>
              <w:left w:val="nil"/>
              <w:bottom w:val="nil"/>
              <w:right w:val="nil"/>
            </w:tcBorders>
            <w:shd w:val="clear" w:color="auto" w:fill="F2F2F2"/>
          </w:tcPr>
          <w:p w14:paraId="3D5EAD9C" w14:textId="77777777" w:rsidR="001E523D" w:rsidRDefault="001E523D" w:rsidP="00A4323F">
            <w:pPr>
              <w:pStyle w:val="BoxTitle"/>
            </w:pPr>
            <w:r>
              <w:rPr>
                <w:b w:val="0"/>
              </w:rPr>
              <w:t>Box 18.</w:t>
            </w:r>
            <w:r>
              <w:rPr>
                <w:b w:val="0"/>
                <w:noProof/>
              </w:rPr>
              <w:t>4</w:t>
            </w:r>
            <w:r>
              <w:tab/>
            </w:r>
            <w:r w:rsidRPr="00A41BFA">
              <w:t>Wait times</w:t>
            </w:r>
          </w:p>
        </w:tc>
      </w:tr>
      <w:tr w:rsidR="001E523D" w14:paraId="0D6588A4" w14:textId="77777777" w:rsidTr="00A4323F">
        <w:tc>
          <w:tcPr>
            <w:tcW w:w="5000" w:type="pct"/>
            <w:tcBorders>
              <w:top w:val="nil"/>
              <w:left w:val="nil"/>
              <w:bottom w:val="nil"/>
              <w:right w:val="nil"/>
            </w:tcBorders>
            <w:shd w:val="clear" w:color="auto" w:fill="F2F2F2"/>
          </w:tcPr>
          <w:p w14:paraId="7F536180" w14:textId="77777777" w:rsidR="001E523D" w:rsidRDefault="001E523D" w:rsidP="00A4323F">
            <w:pPr>
              <w:pStyle w:val="Box"/>
            </w:pPr>
            <w:r w:rsidRPr="00D33393">
              <w:t xml:space="preserve">‘Wait times’ is defined as the </w:t>
            </w:r>
            <w:r>
              <w:t>proportion</w:t>
            </w:r>
            <w:r w:rsidRPr="00D33393">
              <w:t xml:space="preserve"> of </w:t>
            </w:r>
            <w:r>
              <w:t>households</w:t>
            </w:r>
            <w:r w:rsidRPr="00D33393">
              <w:t xml:space="preserve"> on social housing wait lists who received a housing allocation in the previous 12 months, by the</w:t>
            </w:r>
            <w:r>
              <w:t>ir time spent on the wait list.</w:t>
            </w:r>
          </w:p>
          <w:p w14:paraId="3CD06C01" w14:textId="5B0B434D" w:rsidR="001E523D" w:rsidRPr="00DC04F0" w:rsidRDefault="001E523D" w:rsidP="00A4323F">
            <w:pPr>
              <w:pStyle w:val="Box"/>
              <w:rPr>
                <w:lang w:eastAsia="en-US"/>
              </w:rPr>
            </w:pPr>
            <w:r w:rsidRPr="00DD64C7">
              <w:t xml:space="preserve">A high or increasing </w:t>
            </w:r>
            <w:r w:rsidR="00180FA3">
              <w:t>proportion</w:t>
            </w:r>
            <w:r w:rsidRPr="00DD64C7">
              <w:t xml:space="preserve"> </w:t>
            </w:r>
            <w:r>
              <w:t>who spent less time on the wait list is desirable.</w:t>
            </w:r>
          </w:p>
          <w:p w14:paraId="22CC299F" w14:textId="77777777" w:rsidR="001E523D" w:rsidRDefault="001E523D" w:rsidP="00A4323F">
            <w:pPr>
              <w:pStyle w:val="Box"/>
            </w:pPr>
            <w:r w:rsidRPr="00D33393">
              <w:t>Data are not yet available for reporting against this indicator.</w:t>
            </w:r>
          </w:p>
        </w:tc>
      </w:tr>
      <w:tr w:rsidR="001E523D" w14:paraId="70215654" w14:textId="77777777" w:rsidTr="00A4323F">
        <w:tc>
          <w:tcPr>
            <w:tcW w:w="5000" w:type="pct"/>
            <w:tcBorders>
              <w:top w:val="nil"/>
              <w:left w:val="nil"/>
              <w:bottom w:val="single" w:sz="6" w:space="0" w:color="78A22F"/>
              <w:right w:val="nil"/>
            </w:tcBorders>
            <w:shd w:val="clear" w:color="auto" w:fill="F2F2F2"/>
          </w:tcPr>
          <w:p w14:paraId="0B37A0D2" w14:textId="77777777" w:rsidR="001E523D" w:rsidRDefault="001E523D" w:rsidP="00A4323F">
            <w:pPr>
              <w:pStyle w:val="Box"/>
              <w:spacing w:before="0" w:line="120" w:lineRule="exact"/>
            </w:pPr>
          </w:p>
        </w:tc>
      </w:tr>
      <w:tr w:rsidR="001E523D" w:rsidRPr="000863A5" w14:paraId="0CED106D" w14:textId="77777777" w:rsidTr="00A4323F">
        <w:tc>
          <w:tcPr>
            <w:tcW w:w="5000" w:type="pct"/>
            <w:tcBorders>
              <w:top w:val="single" w:sz="6" w:space="0" w:color="78A22F"/>
              <w:left w:val="nil"/>
              <w:bottom w:val="nil"/>
              <w:right w:val="nil"/>
            </w:tcBorders>
          </w:tcPr>
          <w:p w14:paraId="49F9BDA4" w14:textId="77777777" w:rsidR="001E523D" w:rsidRPr="00626D32" w:rsidRDefault="001E523D" w:rsidP="00A4323F">
            <w:pPr>
              <w:pStyle w:val="BoxSpaceBelow"/>
            </w:pPr>
          </w:p>
        </w:tc>
      </w:tr>
    </w:tbl>
    <w:p w14:paraId="46AA338B" w14:textId="77777777" w:rsidR="001E523D" w:rsidRPr="003430B0" w:rsidRDefault="001E523D" w:rsidP="001E523D">
      <w:pPr>
        <w:pStyle w:val="Heading4"/>
      </w:pPr>
      <w:bookmarkStart w:id="20" w:name="_Toc18675362"/>
      <w:bookmarkStart w:id="21" w:name="_Toc27564459"/>
      <w:r>
        <w:t xml:space="preserve">Appropriateness — </w:t>
      </w:r>
      <w:r w:rsidRPr="00BF6E24">
        <w:t>Match of dwelling to household size</w:t>
      </w:r>
      <w:bookmarkEnd w:id="20"/>
      <w:bookmarkEnd w:id="21"/>
    </w:p>
    <w:p w14:paraId="01D9F112" w14:textId="0A883B68" w:rsidR="00E53002" w:rsidRDefault="001E523D" w:rsidP="001E523D">
      <w:pPr>
        <w:pStyle w:val="BodyText"/>
      </w:pPr>
      <w:r w:rsidRPr="00DA73E5">
        <w:t xml:space="preserve">‘Match of dwelling to household size’ is an indicator of governments’ objective to provide </w:t>
      </w:r>
      <w:r>
        <w:t>services</w:t>
      </w:r>
      <w:r w:rsidRPr="00DA73E5">
        <w:t xml:space="preserve"> that </w:t>
      </w:r>
      <w:r>
        <w:t>are</w:t>
      </w:r>
      <w:r w:rsidRPr="00DA73E5">
        <w:t xml:space="preserve"> appropriate</w:t>
      </w:r>
      <w:r>
        <w:t>,</w:t>
      </w:r>
      <w:r w:rsidRPr="00866D08">
        <w:t xml:space="preserve"> meeting</w:t>
      </w:r>
      <w:r w:rsidRPr="00DA73E5">
        <w:t xml:space="preserve"> the needs of </w:t>
      </w:r>
      <w:r w:rsidRPr="00866D08">
        <w:t xml:space="preserve">individual </w:t>
      </w:r>
      <w:r w:rsidRPr="00DA73E5">
        <w:t>households (box</w:t>
      </w:r>
      <w:r>
        <w:t> 18.5).</w:t>
      </w:r>
    </w:p>
    <w:p w14:paraId="19D511B4" w14:textId="77777777"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E523D" w14:paraId="257A7755" w14:textId="77777777" w:rsidTr="00A4323F">
        <w:tc>
          <w:tcPr>
            <w:tcW w:w="5000" w:type="pct"/>
            <w:tcBorders>
              <w:top w:val="single" w:sz="6" w:space="0" w:color="78A22F"/>
              <w:left w:val="nil"/>
              <w:bottom w:val="nil"/>
              <w:right w:val="nil"/>
            </w:tcBorders>
            <w:shd w:val="clear" w:color="auto" w:fill="F2F2F2" w:themeFill="background1" w:themeFillShade="F2"/>
          </w:tcPr>
          <w:p w14:paraId="1E14F7FD" w14:textId="77777777" w:rsidR="001E523D" w:rsidRDefault="001E523D" w:rsidP="00A4323F">
            <w:pPr>
              <w:pStyle w:val="BoxTitle"/>
            </w:pPr>
            <w:r>
              <w:rPr>
                <w:b w:val="0"/>
              </w:rPr>
              <w:t>Box 18.</w:t>
            </w:r>
            <w:r>
              <w:rPr>
                <w:b w:val="0"/>
                <w:noProof/>
              </w:rPr>
              <w:t>5</w:t>
            </w:r>
            <w:r>
              <w:tab/>
            </w:r>
            <w:r w:rsidRPr="007504E5">
              <w:t>Match of dwelling to household size</w:t>
            </w:r>
          </w:p>
        </w:tc>
      </w:tr>
      <w:tr w:rsidR="001E523D" w14:paraId="3FDF5CEE" w14:textId="77777777" w:rsidTr="00A4323F">
        <w:trPr>
          <w:cantSplit/>
        </w:trPr>
        <w:tc>
          <w:tcPr>
            <w:tcW w:w="5000" w:type="pct"/>
            <w:tcBorders>
              <w:top w:val="nil"/>
              <w:left w:val="nil"/>
              <w:bottom w:val="nil"/>
              <w:right w:val="nil"/>
            </w:tcBorders>
            <w:shd w:val="clear" w:color="auto" w:fill="F2F2F2" w:themeFill="background1" w:themeFillShade="F2"/>
          </w:tcPr>
          <w:p w14:paraId="6640CA39" w14:textId="46807F6E" w:rsidR="001E523D" w:rsidRPr="005E340A" w:rsidRDefault="001E523D" w:rsidP="00A4323F">
            <w:pPr>
              <w:pStyle w:val="Box"/>
            </w:pPr>
            <w:r w:rsidRPr="005E340A">
              <w:t>‘Match of dwelling to household size’ is defined as the proportion of households that are overcrowded.</w:t>
            </w:r>
          </w:p>
          <w:p w14:paraId="5E9ADE72" w14:textId="26504460" w:rsidR="001E523D" w:rsidRPr="005E340A" w:rsidRDefault="001E523D" w:rsidP="00A4323F">
            <w:pPr>
              <w:pStyle w:val="Box"/>
            </w:pPr>
            <w:r w:rsidRPr="005E340A">
              <w:t>Overcrowding is defined and measured using the Canadian National Occupancy Standard (CNOS)</w:t>
            </w:r>
            <w:r w:rsidR="00B61AD2">
              <w:t>,</w:t>
            </w:r>
            <w:r w:rsidRPr="005E340A">
              <w:t xml:space="preserve"> </w:t>
            </w:r>
            <w:r>
              <w:t>with</w:t>
            </w:r>
            <w:r w:rsidRPr="005E340A">
              <w:t xml:space="preserve"> </w:t>
            </w:r>
            <w:r>
              <w:t xml:space="preserve">households deemed to be </w:t>
            </w:r>
            <w:r w:rsidRPr="005E340A">
              <w:t>overcrowd</w:t>
            </w:r>
            <w:r>
              <w:t>ed</w:t>
            </w:r>
            <w:r w:rsidRPr="005E340A">
              <w:t xml:space="preserve"> if one or more additional bedrooms are required to meet the standard (see </w:t>
            </w:r>
            <w:r w:rsidR="00B41AF7">
              <w:t>sub</w:t>
            </w:r>
            <w:r w:rsidR="00065C43">
              <w:noBreakHyphen/>
            </w:r>
            <w:r w:rsidRPr="005E340A">
              <w:t>section</w:t>
            </w:r>
            <w:r>
              <w:t> </w:t>
            </w:r>
            <w:r w:rsidRPr="005E340A">
              <w:t>1</w:t>
            </w:r>
            <w:r>
              <w:t>8</w:t>
            </w:r>
            <w:r w:rsidRPr="005E340A">
              <w:t>.</w:t>
            </w:r>
            <w:r w:rsidR="009E6D0C">
              <w:t>3</w:t>
            </w:r>
            <w:r w:rsidRPr="005E340A">
              <w:t xml:space="preserve"> for CNOS definition). State and Territory housing authorities’ bedroom entitlement policies may differ from the CNOS.</w:t>
            </w:r>
          </w:p>
          <w:p w14:paraId="7654B146" w14:textId="77777777" w:rsidR="001E523D" w:rsidRPr="005E340A" w:rsidRDefault="001E523D" w:rsidP="00A4323F">
            <w:pPr>
              <w:pStyle w:val="Box"/>
            </w:pPr>
            <w:r w:rsidRPr="005E340A">
              <w:t xml:space="preserve">The </w:t>
            </w:r>
            <w:r>
              <w:t>CNOS requires knowledge of</w:t>
            </w:r>
            <w:r w:rsidRPr="005E340A">
              <w:t xml:space="preserve"> the age, </w:t>
            </w:r>
            <w:proofErr w:type="gramStart"/>
            <w:r w:rsidRPr="005E340A">
              <w:t>sex</w:t>
            </w:r>
            <w:proofErr w:type="gramEnd"/>
            <w:r w:rsidRPr="005E340A">
              <w:t xml:space="preserve"> and relationship status of all tenants within a household, as well as the number of bedrooms. </w:t>
            </w:r>
            <w:r>
              <w:t>H</w:t>
            </w:r>
            <w:r w:rsidRPr="005E340A">
              <w:t xml:space="preserve">ouseholds </w:t>
            </w:r>
            <w:r>
              <w:t>for which</w:t>
            </w:r>
            <w:r w:rsidRPr="005E340A">
              <w:t xml:space="preserve"> complete information </w:t>
            </w:r>
            <w:r>
              <w:t xml:space="preserve">is not </w:t>
            </w:r>
            <w:r w:rsidRPr="005E340A">
              <w:t xml:space="preserve">available are </w:t>
            </w:r>
            <w:r>
              <w:t>ex</w:t>
            </w:r>
            <w:r w:rsidRPr="005E340A">
              <w:t xml:space="preserve">cluded </w:t>
            </w:r>
            <w:r>
              <w:t xml:space="preserve">from data for this </w:t>
            </w:r>
            <w:r w:rsidRPr="004D5C60">
              <w:t>measure</w:t>
            </w:r>
            <w:r w:rsidRPr="005E340A">
              <w:t>.</w:t>
            </w:r>
          </w:p>
          <w:p w14:paraId="2A21BFEB" w14:textId="4D629D4D" w:rsidR="001E523D" w:rsidRPr="005E340A" w:rsidRDefault="001E523D" w:rsidP="00A4323F">
            <w:pPr>
              <w:pStyle w:val="Box"/>
            </w:pPr>
            <w:r w:rsidRPr="005E340A">
              <w:t xml:space="preserve">Low or decreasing proportions of households in social housing living in overcrowded conditions </w:t>
            </w:r>
            <w:r w:rsidR="00B41AF7">
              <w:t>are</w:t>
            </w:r>
            <w:r w:rsidRPr="005E340A">
              <w:t xml:space="preserve"> desirable.</w:t>
            </w:r>
          </w:p>
          <w:p w14:paraId="6BCC6D04" w14:textId="77777777" w:rsidR="001E523D" w:rsidRPr="00DC04F0" w:rsidRDefault="001E523D" w:rsidP="00A4323F">
            <w:pPr>
              <w:pStyle w:val="Box"/>
              <w:rPr>
                <w:lang w:eastAsia="en-US"/>
              </w:rPr>
            </w:pPr>
            <w:r w:rsidRPr="005E340A">
              <w:t xml:space="preserve">Data for this </w:t>
            </w:r>
            <w:r w:rsidRPr="004D5C60">
              <w:t>measure</w:t>
            </w:r>
            <w:r w:rsidRPr="005E340A">
              <w:t xml:space="preserve"> are reported for public housing, SOMIH, community housing and ICH</w:t>
            </w:r>
            <w:r>
              <w:t xml:space="preserve"> and are:</w:t>
            </w:r>
          </w:p>
          <w:p w14:paraId="77FC44AD" w14:textId="5B452FD6" w:rsidR="005E594C" w:rsidRPr="00091189" w:rsidRDefault="001E523D" w:rsidP="00EB4F51">
            <w:pPr>
              <w:pStyle w:val="BoxListBullet"/>
              <w:numPr>
                <w:ilvl w:val="0"/>
                <w:numId w:val="0"/>
              </w:numPr>
              <w:ind w:left="284"/>
            </w:pPr>
            <w:r w:rsidRPr="001211EE">
              <w:rPr>
                <w:shd w:val="clear" w:color="auto" w:fill="FCDED3"/>
              </w:rPr>
              <w:t xml:space="preserve">    </w:t>
            </w:r>
            <w:r>
              <w:t xml:space="preserve"> </w:t>
            </w:r>
            <w:r w:rsidRPr="00564102">
              <w:t xml:space="preserve">not comparable across public housing, SOMIH, community housing and ICH, but are comparable </w:t>
            </w:r>
            <w:r>
              <w:t xml:space="preserve">(subject to caveats) </w:t>
            </w:r>
            <w:r w:rsidRPr="00564102">
              <w:t>across jurisdictions</w:t>
            </w:r>
            <w:r>
              <w:t xml:space="preserve"> </w:t>
            </w:r>
            <w:r w:rsidRPr="002E5455">
              <w:t>and over time</w:t>
            </w:r>
            <w:r w:rsidR="005F3E54" w:rsidRPr="005F3E54">
              <w:t>.</w:t>
            </w:r>
          </w:p>
          <w:p w14:paraId="5309F3EB" w14:textId="3ED877B9" w:rsidR="001E523D" w:rsidRPr="005E340A" w:rsidRDefault="001E523D" w:rsidP="00054D79">
            <w:pPr>
              <w:pStyle w:val="BoxListBullet"/>
              <w:numPr>
                <w:ilvl w:val="0"/>
                <w:numId w:val="0"/>
              </w:numPr>
              <w:ind w:left="284"/>
            </w:pPr>
            <w:r w:rsidRPr="00C66F12">
              <w:rPr>
                <w:shd w:val="clear" w:color="auto" w:fill="FCDED3"/>
              </w:rPr>
              <w:t xml:space="preserve">    </w:t>
            </w:r>
            <w:r>
              <w:t xml:space="preserve"> </w:t>
            </w:r>
            <w:r w:rsidRPr="00F960D2">
              <w:t xml:space="preserve">incomplete for the current reporting period for community housing (all required 30 June </w:t>
            </w:r>
            <w:r w:rsidR="00C50854">
              <w:t>2020</w:t>
            </w:r>
            <w:r w:rsidR="00360576" w:rsidRPr="00710B94">
              <w:rPr>
                <w:color w:val="00B050"/>
              </w:rPr>
              <w:t xml:space="preserve"> </w:t>
            </w:r>
            <w:r w:rsidRPr="00F960D2">
              <w:t>data were not available for the NT)</w:t>
            </w:r>
            <w:r>
              <w:t xml:space="preserve"> and </w:t>
            </w:r>
            <w:r w:rsidRPr="005E340A">
              <w:t xml:space="preserve">ICH (all </w:t>
            </w:r>
            <w:r w:rsidRPr="00D51E02">
              <w:t>required</w:t>
            </w:r>
            <w:r>
              <w:t> </w:t>
            </w:r>
            <w:r w:rsidRPr="00D51E02">
              <w:t>30</w:t>
            </w:r>
            <w:r>
              <w:t> </w:t>
            </w:r>
            <w:r w:rsidRPr="003336F0">
              <w:t>June</w:t>
            </w:r>
            <w:r>
              <w:t xml:space="preserve"> </w:t>
            </w:r>
            <w:r w:rsidR="00B258D4" w:rsidRPr="005A7DCE">
              <w:t>2020</w:t>
            </w:r>
            <w:r w:rsidR="00B258D4" w:rsidRPr="005A09B0">
              <w:rPr>
                <w:color w:val="FF0000"/>
              </w:rPr>
              <w:t xml:space="preserve"> </w:t>
            </w:r>
            <w:r w:rsidRPr="00E323E7">
              <w:t xml:space="preserve">data were not available for </w:t>
            </w:r>
            <w:r w:rsidR="00C937AA" w:rsidRPr="005A7DCE">
              <w:t>NSW,</w:t>
            </w:r>
            <w:r w:rsidR="00C937AA">
              <w:t xml:space="preserve"> </w:t>
            </w:r>
            <w:proofErr w:type="gramStart"/>
            <w:r w:rsidRPr="00E323E7">
              <w:t>Tasmania</w:t>
            </w:r>
            <w:proofErr w:type="gramEnd"/>
            <w:r w:rsidRPr="00E323E7">
              <w:t xml:space="preserve"> and the NT), but are complete for public housing and SOMIH</w:t>
            </w:r>
            <w:r w:rsidRPr="00564102">
              <w:t xml:space="preserve"> (30</w:t>
            </w:r>
            <w:r>
              <w:t> </w:t>
            </w:r>
            <w:r w:rsidRPr="00564102">
              <w:t>June</w:t>
            </w:r>
            <w:r>
              <w:t xml:space="preserve"> </w:t>
            </w:r>
            <w:r w:rsidR="00360576">
              <w:t>20</w:t>
            </w:r>
            <w:r w:rsidR="00054D79">
              <w:t>20</w:t>
            </w:r>
            <w:r w:rsidRPr="00564102">
              <w:t>).</w:t>
            </w:r>
          </w:p>
        </w:tc>
      </w:tr>
      <w:tr w:rsidR="001E523D" w14:paraId="61EEBC62" w14:textId="77777777" w:rsidTr="00A4323F">
        <w:trPr>
          <w:cantSplit/>
        </w:trPr>
        <w:tc>
          <w:tcPr>
            <w:tcW w:w="5000" w:type="pct"/>
            <w:tcBorders>
              <w:top w:val="nil"/>
              <w:left w:val="nil"/>
              <w:bottom w:val="single" w:sz="6" w:space="0" w:color="78A22F"/>
              <w:right w:val="nil"/>
            </w:tcBorders>
            <w:shd w:val="clear" w:color="auto" w:fill="F2F2F2" w:themeFill="background1" w:themeFillShade="F2"/>
          </w:tcPr>
          <w:p w14:paraId="76FCF923" w14:textId="77777777" w:rsidR="001E523D" w:rsidRDefault="001E523D" w:rsidP="00A4323F">
            <w:pPr>
              <w:pStyle w:val="Box"/>
              <w:spacing w:before="0" w:line="120" w:lineRule="exact"/>
            </w:pPr>
          </w:p>
        </w:tc>
      </w:tr>
      <w:tr w:rsidR="001E523D" w:rsidRPr="000863A5" w14:paraId="757E0D07" w14:textId="77777777" w:rsidTr="00A4323F">
        <w:tc>
          <w:tcPr>
            <w:tcW w:w="5000" w:type="pct"/>
            <w:tcBorders>
              <w:top w:val="single" w:sz="6" w:space="0" w:color="78A22F"/>
              <w:left w:val="nil"/>
              <w:bottom w:val="nil"/>
              <w:right w:val="nil"/>
            </w:tcBorders>
          </w:tcPr>
          <w:p w14:paraId="1EBDE16E" w14:textId="77777777" w:rsidR="001E523D" w:rsidRPr="00626D32" w:rsidRDefault="001E523D" w:rsidP="00A4323F">
            <w:pPr>
              <w:pStyle w:val="BoxSpaceBelow"/>
            </w:pPr>
          </w:p>
        </w:tc>
      </w:tr>
    </w:tbl>
    <w:p w14:paraId="3D5981F0" w14:textId="77777777" w:rsidR="001E523D" w:rsidRPr="00E66BE3" w:rsidRDefault="001E523D" w:rsidP="001E523D">
      <w:pPr>
        <w:pStyle w:val="Heading4"/>
      </w:pPr>
      <w:bookmarkStart w:id="22" w:name="_Toc18675363"/>
      <w:bookmarkStart w:id="23" w:name="_Toc27564460"/>
      <w:r>
        <w:t xml:space="preserve">Appropriateness — </w:t>
      </w:r>
      <w:r w:rsidRPr="00E66BE3">
        <w:t>Amenity/location</w:t>
      </w:r>
      <w:bookmarkEnd w:id="22"/>
      <w:bookmarkEnd w:id="23"/>
    </w:p>
    <w:p w14:paraId="04829B3B" w14:textId="2DDAA569" w:rsidR="00E53002" w:rsidRDefault="001E523D" w:rsidP="001E523D">
      <w:pPr>
        <w:pStyle w:val="BodyText"/>
      </w:pPr>
      <w:r>
        <w:t xml:space="preserve">‘Amenity/location’ is an indicator of governments’ objective to provide services that are appropriate, </w:t>
      </w:r>
      <w:r w:rsidRPr="00250E4E">
        <w:t xml:space="preserve">meeting </w:t>
      </w:r>
      <w:r>
        <w:t xml:space="preserve">the needs of </w:t>
      </w:r>
      <w:r w:rsidRPr="00250E4E">
        <w:t xml:space="preserve">individual </w:t>
      </w:r>
      <w:r>
        <w:t>households (box 18.6).</w:t>
      </w:r>
    </w:p>
    <w:p w14:paraId="4EE38D13" w14:textId="7C19EA6C"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673F675E" w14:textId="77777777" w:rsidTr="00A4323F">
        <w:trPr>
          <w:tblHeader/>
        </w:trPr>
        <w:tc>
          <w:tcPr>
            <w:tcW w:w="5000" w:type="pct"/>
            <w:tcBorders>
              <w:top w:val="single" w:sz="6" w:space="0" w:color="78A22F"/>
              <w:left w:val="nil"/>
              <w:bottom w:val="nil"/>
              <w:right w:val="nil"/>
            </w:tcBorders>
            <w:shd w:val="clear" w:color="auto" w:fill="F2F2F2"/>
          </w:tcPr>
          <w:p w14:paraId="0AA7ED18" w14:textId="0AAB7F52" w:rsidR="001E523D" w:rsidRDefault="001E523D" w:rsidP="001A279F">
            <w:pPr>
              <w:pStyle w:val="BoxTitle"/>
            </w:pPr>
            <w:r>
              <w:rPr>
                <w:b w:val="0"/>
              </w:rPr>
              <w:t>Box 18.6</w:t>
            </w:r>
            <w:r>
              <w:tab/>
              <w:t>Amenity/location</w:t>
            </w:r>
          </w:p>
        </w:tc>
      </w:tr>
      <w:tr w:rsidR="001E523D" w14:paraId="1C457039" w14:textId="77777777" w:rsidTr="00A4323F">
        <w:tc>
          <w:tcPr>
            <w:tcW w:w="5000" w:type="pct"/>
            <w:tcBorders>
              <w:top w:val="nil"/>
              <w:left w:val="nil"/>
              <w:bottom w:val="nil"/>
              <w:right w:val="nil"/>
            </w:tcBorders>
            <w:shd w:val="clear" w:color="auto" w:fill="F2F2F2"/>
          </w:tcPr>
          <w:p w14:paraId="376147B8" w14:textId="77777777" w:rsidR="0085171E" w:rsidRDefault="001E523D" w:rsidP="00DC4F29">
            <w:pPr>
              <w:pStyle w:val="Box"/>
            </w:pPr>
            <w:r w:rsidRPr="003336F0">
              <w:t xml:space="preserve">‘Amenity/location’ is defined as the proportion of households that rate </w:t>
            </w:r>
            <w:r w:rsidR="005264E1">
              <w:t xml:space="preserve">a </w:t>
            </w:r>
            <w:r w:rsidRPr="003336F0">
              <w:t>particular aspect of amenity and location as important to their needs, who are in dwellings that meet those needs.</w:t>
            </w:r>
            <w:r w:rsidR="00B57AC0">
              <w:t xml:space="preserve"> Amenity/location is presented </w:t>
            </w:r>
            <w:r w:rsidR="004340CE">
              <w:t xml:space="preserve">as </w:t>
            </w:r>
            <w:r w:rsidR="00B57AC0">
              <w:t>a</w:t>
            </w:r>
            <w:r w:rsidR="00B57AC0" w:rsidRPr="00B57AC0">
              <w:t xml:space="preserve"> mean of</w:t>
            </w:r>
            <w:r w:rsidR="004340CE">
              <w:t xml:space="preserve"> </w:t>
            </w:r>
            <w:r w:rsidR="004340CE" w:rsidRPr="00B57AC0">
              <w:t xml:space="preserve">the proportion of households with needs met across </w:t>
            </w:r>
            <w:r w:rsidR="004340CE">
              <w:t xml:space="preserve">(a) </w:t>
            </w:r>
            <w:r w:rsidR="00AF200A" w:rsidRPr="00B57AC0">
              <w:t xml:space="preserve">dwelling </w:t>
            </w:r>
            <w:r w:rsidR="00B57AC0" w:rsidRPr="00B57AC0">
              <w:t>ameni</w:t>
            </w:r>
            <w:r w:rsidR="009F1620">
              <w:t xml:space="preserve">ty </w:t>
            </w:r>
            <w:r w:rsidR="00AF200A">
              <w:t xml:space="preserve">aspects </w:t>
            </w:r>
            <w:r w:rsidR="004340CE">
              <w:t xml:space="preserve">and (b) </w:t>
            </w:r>
            <w:r w:rsidR="00AF200A" w:rsidRPr="00B57AC0">
              <w:t xml:space="preserve">dwelling </w:t>
            </w:r>
            <w:r w:rsidR="004340CE">
              <w:t>location</w:t>
            </w:r>
            <w:r w:rsidR="00AF200A">
              <w:t xml:space="preserve"> aspects</w:t>
            </w:r>
            <w:r w:rsidR="004340CE">
              <w:t>.</w:t>
            </w:r>
          </w:p>
          <w:p w14:paraId="01545B76" w14:textId="0B11E73F" w:rsidR="001E523D" w:rsidRDefault="001E523D" w:rsidP="000D2B6C">
            <w:pPr>
              <w:pStyle w:val="Box"/>
            </w:pPr>
            <w:r w:rsidRPr="003336F0">
              <w:t xml:space="preserve">‘Amenity’ aspects include size of dwelling, </w:t>
            </w:r>
            <w:r w:rsidR="00D666BC" w:rsidRPr="00D666BC">
              <w:t xml:space="preserve">number of bedrooms, </w:t>
            </w:r>
            <w:r w:rsidRPr="003336F0">
              <w:t>modifications for special needs, ease of access and entry, car parking, yard space and fencing, privacy of home, safety/security of home and safety/security of neighbourhood</w:t>
            </w:r>
            <w:r w:rsidR="00D666BC">
              <w:t xml:space="preserve">, </w:t>
            </w:r>
            <w:r w:rsidR="00D666BC" w:rsidRPr="00D666BC">
              <w:t>energy efficiency, water efficiency, thermal comfort</w:t>
            </w:r>
            <w:r w:rsidRPr="003336F0">
              <w:t xml:space="preserve">. ‘Location’ aspects include proximity to facilities and services such as: shops and banking, public transport, parks and recreational facilities, emergency services, medical services and hospitals, </w:t>
            </w:r>
            <w:proofErr w:type="gramStart"/>
            <w:r w:rsidRPr="003336F0">
              <w:t>child care</w:t>
            </w:r>
            <w:proofErr w:type="gramEnd"/>
            <w:r w:rsidRPr="003336F0">
              <w:t xml:space="preserve"> facilities, education/training facilities, employment/place of work, community and support services, family and friends</w:t>
            </w:r>
            <w:r w:rsidRPr="00D666BC">
              <w:t>.</w:t>
            </w:r>
            <w:r w:rsidR="00D666BC" w:rsidRPr="00D666BC">
              <w:t xml:space="preserve"> </w:t>
            </w:r>
            <w:r w:rsidR="000D2B6C">
              <w:t>High or increasing</w:t>
            </w:r>
            <w:r>
              <w:t xml:space="preserve"> proportion</w:t>
            </w:r>
            <w:r w:rsidR="000D2B6C">
              <w:t>s</w:t>
            </w:r>
            <w:r>
              <w:t xml:space="preserve"> of households with amenity and location needs met is desirable. </w:t>
            </w:r>
          </w:p>
        </w:tc>
      </w:tr>
      <w:tr w:rsidR="001E523D" w:rsidRPr="00ED061E" w14:paraId="1F905A1D" w14:textId="77777777" w:rsidTr="00A4323F">
        <w:tc>
          <w:tcPr>
            <w:tcW w:w="5000" w:type="pct"/>
            <w:tcBorders>
              <w:top w:val="nil"/>
              <w:left w:val="nil"/>
              <w:bottom w:val="nil"/>
              <w:right w:val="nil"/>
            </w:tcBorders>
            <w:shd w:val="clear" w:color="auto" w:fill="F2F2F2"/>
          </w:tcPr>
          <w:p w14:paraId="2EEEF095" w14:textId="77777777" w:rsidR="001E523D" w:rsidRPr="00ED061E" w:rsidRDefault="001E523D" w:rsidP="00A4323F">
            <w:pPr>
              <w:pStyle w:val="BoxSource"/>
              <w:spacing w:after="120" w:line="240" w:lineRule="auto"/>
              <w:jc w:val="right"/>
            </w:pPr>
            <w:r w:rsidRPr="00ED061E">
              <w:t>(continued next page)</w:t>
            </w:r>
          </w:p>
        </w:tc>
      </w:tr>
      <w:tr w:rsidR="001E523D" w14:paraId="786C1F38" w14:textId="77777777" w:rsidTr="00A4323F">
        <w:tc>
          <w:tcPr>
            <w:tcW w:w="5000" w:type="pct"/>
            <w:tcBorders>
              <w:top w:val="nil"/>
              <w:left w:val="nil"/>
              <w:bottom w:val="single" w:sz="6" w:space="0" w:color="78A22F"/>
              <w:right w:val="nil"/>
            </w:tcBorders>
            <w:shd w:val="clear" w:color="auto" w:fill="F2F2F2"/>
          </w:tcPr>
          <w:p w14:paraId="7FDDBB6C" w14:textId="77777777" w:rsidR="001E523D" w:rsidRDefault="001E523D" w:rsidP="00A4323F">
            <w:pPr>
              <w:pStyle w:val="Box"/>
              <w:spacing w:before="0" w:line="120" w:lineRule="exact"/>
            </w:pPr>
          </w:p>
        </w:tc>
      </w:tr>
      <w:tr w:rsidR="001E523D" w:rsidRPr="000863A5" w14:paraId="20A5EAAD" w14:textId="77777777" w:rsidTr="00A4323F">
        <w:tc>
          <w:tcPr>
            <w:tcW w:w="5000" w:type="pct"/>
            <w:tcBorders>
              <w:top w:val="single" w:sz="6" w:space="0" w:color="78A22F"/>
              <w:left w:val="nil"/>
              <w:bottom w:val="nil"/>
              <w:right w:val="nil"/>
            </w:tcBorders>
          </w:tcPr>
          <w:p w14:paraId="66F6AF09" w14:textId="094338C9" w:rsidR="001E523D" w:rsidRPr="00626D32" w:rsidRDefault="001E523D" w:rsidP="00A4323F">
            <w:pPr>
              <w:pStyle w:val="BoxSpaceBelow"/>
            </w:pPr>
          </w:p>
        </w:tc>
      </w:tr>
    </w:tbl>
    <w:p w14:paraId="6CC3C41D" w14:textId="77777777"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E523D" w14:paraId="2D64DB08" w14:textId="77777777" w:rsidTr="00A4323F">
        <w:tc>
          <w:tcPr>
            <w:tcW w:w="5000" w:type="pct"/>
            <w:tcBorders>
              <w:top w:val="single" w:sz="6" w:space="0" w:color="78A22F"/>
              <w:left w:val="nil"/>
              <w:bottom w:val="nil"/>
              <w:right w:val="nil"/>
            </w:tcBorders>
            <w:shd w:val="clear" w:color="auto" w:fill="F2F2F2" w:themeFill="background1" w:themeFillShade="F2"/>
          </w:tcPr>
          <w:p w14:paraId="2D478FD0" w14:textId="77777777" w:rsidR="001E523D" w:rsidRDefault="001E523D" w:rsidP="00A4323F">
            <w:pPr>
              <w:pStyle w:val="BoxTitle"/>
            </w:pPr>
            <w:r>
              <w:rPr>
                <w:b w:val="0"/>
              </w:rPr>
              <w:t>Box 18.</w:t>
            </w:r>
            <w:r>
              <w:rPr>
                <w:b w:val="0"/>
                <w:noProof/>
              </w:rPr>
              <w:t>6</w:t>
            </w:r>
            <w:r>
              <w:tab/>
            </w:r>
            <w:r>
              <w:rPr>
                <w:b w:val="0"/>
                <w:sz w:val="18"/>
                <w:szCs w:val="18"/>
              </w:rPr>
              <w:t>(c</w:t>
            </w:r>
            <w:r w:rsidRPr="00ED061E">
              <w:rPr>
                <w:b w:val="0"/>
                <w:sz w:val="18"/>
                <w:szCs w:val="18"/>
              </w:rPr>
              <w:t>ontinued</w:t>
            </w:r>
            <w:r>
              <w:rPr>
                <w:b w:val="0"/>
                <w:sz w:val="18"/>
                <w:szCs w:val="18"/>
              </w:rPr>
              <w:t>)</w:t>
            </w:r>
          </w:p>
        </w:tc>
      </w:tr>
      <w:tr w:rsidR="001E523D" w:rsidRPr="003336F0" w14:paraId="11CAC325" w14:textId="77777777" w:rsidTr="00A4323F">
        <w:trPr>
          <w:cantSplit/>
        </w:trPr>
        <w:tc>
          <w:tcPr>
            <w:tcW w:w="5000" w:type="pct"/>
            <w:tcBorders>
              <w:top w:val="nil"/>
              <w:left w:val="nil"/>
              <w:bottom w:val="nil"/>
              <w:right w:val="nil"/>
            </w:tcBorders>
            <w:shd w:val="clear" w:color="auto" w:fill="F2F2F2" w:themeFill="background1" w:themeFillShade="F2"/>
          </w:tcPr>
          <w:p w14:paraId="11338BCA" w14:textId="77777777" w:rsidR="001E523D" w:rsidRPr="003336F0" w:rsidRDefault="001E523D" w:rsidP="00A4323F">
            <w:pPr>
              <w:pStyle w:val="Box"/>
            </w:pPr>
            <w:r w:rsidRPr="003336F0">
              <w:t>Data for this measure are reported for public housing, SOMIH and community housing (ICH data are not available) and are:</w:t>
            </w:r>
          </w:p>
          <w:p w14:paraId="01867B9C" w14:textId="77777777" w:rsidR="001E523D" w:rsidRPr="003336F0" w:rsidRDefault="001E523D" w:rsidP="00A4323F">
            <w:pPr>
              <w:pStyle w:val="BoxListBullet"/>
              <w:numPr>
                <w:ilvl w:val="0"/>
                <w:numId w:val="0"/>
              </w:numPr>
              <w:ind w:left="284"/>
            </w:pPr>
            <w:r w:rsidRPr="00C66F12">
              <w:rPr>
                <w:shd w:val="clear" w:color="auto" w:fill="FCDED3"/>
              </w:rPr>
              <w:t xml:space="preserve">    </w:t>
            </w:r>
            <w:r>
              <w:t xml:space="preserve"> </w:t>
            </w:r>
            <w:r w:rsidRPr="003336F0">
              <w:t>not comparable across public housing, SOMIH and community housing due to the different demographic profiles of Aboriginal and Torres Strait Islander tenants and the method of data collection</w:t>
            </w:r>
            <w:r w:rsidRPr="00D812B8">
              <w:t xml:space="preserve">, but comparable </w:t>
            </w:r>
            <w:r>
              <w:t xml:space="preserve">(subject to caveats) </w:t>
            </w:r>
            <w:r w:rsidRPr="00D812B8">
              <w:t>across jurisdictions and over time from 2014</w:t>
            </w:r>
          </w:p>
          <w:p w14:paraId="1F40BE21" w14:textId="77777777" w:rsidR="001E523D" w:rsidRPr="003336F0" w:rsidRDefault="001E523D" w:rsidP="00A4323F">
            <w:pPr>
              <w:pStyle w:val="BoxListBullet"/>
              <w:numPr>
                <w:ilvl w:val="0"/>
                <w:numId w:val="0"/>
              </w:numPr>
              <w:ind w:left="284"/>
            </w:pPr>
            <w:r w:rsidRPr="00C66F12">
              <w:rPr>
                <w:shd w:val="clear" w:color="auto" w:fill="FCDED3"/>
              </w:rPr>
              <w:t xml:space="preserve">    </w:t>
            </w:r>
            <w:r>
              <w:t xml:space="preserve"> </w:t>
            </w:r>
            <w:r w:rsidRPr="00D812B8">
              <w:t xml:space="preserve">incomplete for the current reporting </w:t>
            </w:r>
            <w:r w:rsidRPr="00901FC1">
              <w:t>period for community housing and SOMIH (all required 2018 data were not available for the NT), but are complete for public housing.</w:t>
            </w:r>
          </w:p>
        </w:tc>
      </w:tr>
      <w:tr w:rsidR="001E523D" w:rsidRPr="003336F0" w14:paraId="4FF8F9E8" w14:textId="77777777" w:rsidTr="00A4323F">
        <w:trPr>
          <w:cantSplit/>
        </w:trPr>
        <w:tc>
          <w:tcPr>
            <w:tcW w:w="5000" w:type="pct"/>
            <w:tcBorders>
              <w:top w:val="nil"/>
              <w:left w:val="nil"/>
              <w:bottom w:val="single" w:sz="6" w:space="0" w:color="78A22F"/>
              <w:right w:val="nil"/>
            </w:tcBorders>
            <w:shd w:val="clear" w:color="auto" w:fill="F2F2F2" w:themeFill="background1" w:themeFillShade="F2"/>
          </w:tcPr>
          <w:p w14:paraId="2AAD288A" w14:textId="77777777" w:rsidR="001E523D" w:rsidRPr="003336F0" w:rsidRDefault="001E523D" w:rsidP="00A4323F">
            <w:pPr>
              <w:pStyle w:val="Box"/>
              <w:spacing w:before="0" w:line="120" w:lineRule="exact"/>
            </w:pPr>
          </w:p>
        </w:tc>
      </w:tr>
      <w:tr w:rsidR="001E523D" w:rsidRPr="003336F0" w14:paraId="6CF31B8A" w14:textId="77777777" w:rsidTr="00A4323F">
        <w:tc>
          <w:tcPr>
            <w:tcW w:w="5000" w:type="pct"/>
            <w:tcBorders>
              <w:top w:val="single" w:sz="6" w:space="0" w:color="78A22F"/>
              <w:left w:val="nil"/>
              <w:bottom w:val="nil"/>
              <w:right w:val="nil"/>
            </w:tcBorders>
          </w:tcPr>
          <w:p w14:paraId="1D980B38" w14:textId="77777777" w:rsidR="001E523D" w:rsidRPr="003336F0" w:rsidRDefault="001E523D" w:rsidP="00A4323F">
            <w:pPr>
              <w:pStyle w:val="BoxSpaceBelow"/>
            </w:pPr>
          </w:p>
        </w:tc>
      </w:tr>
    </w:tbl>
    <w:p w14:paraId="685D14BA" w14:textId="77777777" w:rsidR="001E523D" w:rsidRPr="003770C0" w:rsidRDefault="001E523D" w:rsidP="001E523D">
      <w:pPr>
        <w:pStyle w:val="Heading4"/>
      </w:pPr>
      <w:bookmarkStart w:id="24" w:name="_Toc18675364"/>
      <w:bookmarkStart w:id="25" w:name="_Toc27564461"/>
      <w:r>
        <w:t xml:space="preserve">Quality — </w:t>
      </w:r>
      <w:r w:rsidRPr="003770C0">
        <w:t>Dwelling condition</w:t>
      </w:r>
      <w:bookmarkEnd w:id="24"/>
      <w:bookmarkEnd w:id="25"/>
    </w:p>
    <w:p w14:paraId="55F103DA" w14:textId="77777777" w:rsidR="001E523D" w:rsidRPr="00DC04F0" w:rsidRDefault="001E523D" w:rsidP="001E523D">
      <w:pPr>
        <w:pStyle w:val="BodyText"/>
        <w:rPr>
          <w:lang w:eastAsia="en-US"/>
        </w:rPr>
      </w:pPr>
      <w:r>
        <w:t>‘Dwelling condition’ is a proxy indicator of governments’ objective to provide services that are high quality and safe (box 18.7).</w:t>
      </w:r>
    </w:p>
    <w:p w14:paraId="19CD7AC6" w14:textId="77777777"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E523D" w14:paraId="4063448C" w14:textId="77777777" w:rsidTr="00A4323F">
        <w:tc>
          <w:tcPr>
            <w:tcW w:w="5000" w:type="pct"/>
            <w:tcBorders>
              <w:top w:val="single" w:sz="6" w:space="0" w:color="78A22F"/>
              <w:left w:val="nil"/>
              <w:bottom w:val="nil"/>
              <w:right w:val="nil"/>
            </w:tcBorders>
            <w:shd w:val="clear" w:color="auto" w:fill="F2F2F2" w:themeFill="background1" w:themeFillShade="F2"/>
          </w:tcPr>
          <w:p w14:paraId="7AEBBA9E" w14:textId="77777777" w:rsidR="001E523D" w:rsidRDefault="001E523D" w:rsidP="00A4323F">
            <w:pPr>
              <w:pStyle w:val="BoxTitle"/>
              <w:tabs>
                <w:tab w:val="left" w:pos="720"/>
                <w:tab w:val="left" w:pos="1440"/>
                <w:tab w:val="left" w:pos="2160"/>
                <w:tab w:val="left" w:pos="2880"/>
                <w:tab w:val="left" w:pos="3600"/>
                <w:tab w:val="left" w:pos="5100"/>
              </w:tabs>
            </w:pPr>
            <w:r>
              <w:rPr>
                <w:b w:val="0"/>
              </w:rPr>
              <w:t>Box 18.</w:t>
            </w:r>
            <w:r>
              <w:rPr>
                <w:b w:val="0"/>
                <w:noProof/>
              </w:rPr>
              <w:t>7</w:t>
            </w:r>
            <w:r>
              <w:tab/>
            </w:r>
            <w:r w:rsidRPr="008023AD">
              <w:t>Dwelling condition</w:t>
            </w:r>
            <w:r>
              <w:tab/>
            </w:r>
            <w:r>
              <w:tab/>
            </w:r>
          </w:p>
        </w:tc>
      </w:tr>
      <w:tr w:rsidR="001E523D" w14:paraId="1C7D700C" w14:textId="77777777" w:rsidTr="00A4323F">
        <w:trPr>
          <w:cantSplit/>
        </w:trPr>
        <w:tc>
          <w:tcPr>
            <w:tcW w:w="5000" w:type="pct"/>
            <w:tcBorders>
              <w:top w:val="nil"/>
              <w:left w:val="nil"/>
              <w:bottom w:val="nil"/>
              <w:right w:val="nil"/>
            </w:tcBorders>
            <w:shd w:val="clear" w:color="auto" w:fill="F2F2F2" w:themeFill="background1" w:themeFillShade="F2"/>
          </w:tcPr>
          <w:p w14:paraId="3B498028" w14:textId="77777777" w:rsidR="001E523D" w:rsidRPr="00DC04F0" w:rsidRDefault="001E523D" w:rsidP="00A4323F">
            <w:pPr>
              <w:pStyle w:val="Box"/>
              <w:rPr>
                <w:lang w:eastAsia="en-US"/>
              </w:rPr>
            </w:pPr>
            <w:r w:rsidRPr="00B704A4">
              <w:t xml:space="preserve">‘Dwelling condition’ is defined as the proportion of households living in dwellings </w:t>
            </w:r>
            <w:r>
              <w:t>that meet agreed minimum acceptable standards</w:t>
            </w:r>
            <w:r w:rsidRPr="00B704A4">
              <w:t xml:space="preserve">. A dwelling is assessed as </w:t>
            </w:r>
            <w:r>
              <w:t>meeting minimum acceptable standards</w:t>
            </w:r>
            <w:r w:rsidRPr="00B704A4">
              <w:t xml:space="preserve"> if it has at least four working facilities (for washing people, for washing clothes/bedding, for storing/preparing food, and </w:t>
            </w:r>
            <w:r>
              <w:t xml:space="preserve">for removing </w:t>
            </w:r>
            <w:r w:rsidRPr="00B704A4">
              <w:t>sewerage) and not more than two major structural problems.</w:t>
            </w:r>
          </w:p>
          <w:p w14:paraId="0DC65B72" w14:textId="08156B22" w:rsidR="001E523D" w:rsidRDefault="001E523D" w:rsidP="00A4323F">
            <w:pPr>
              <w:pStyle w:val="Box"/>
            </w:pPr>
            <w:r w:rsidRPr="00C21EFD">
              <w:t xml:space="preserve">This is a proxy </w:t>
            </w:r>
            <w:r>
              <w:t xml:space="preserve">indicator </w:t>
            </w:r>
            <w:r w:rsidRPr="00C21EFD">
              <w:t xml:space="preserve">of </w:t>
            </w:r>
            <w:r>
              <w:t>safety</w:t>
            </w:r>
            <w:r w:rsidRPr="00C21EFD">
              <w:t xml:space="preserve"> </w:t>
            </w:r>
            <w:r>
              <w:t xml:space="preserve">as it </w:t>
            </w:r>
            <w:r w:rsidRPr="00C21EFD">
              <w:t>measure</w:t>
            </w:r>
            <w:r>
              <w:t>s</w:t>
            </w:r>
            <w:r w:rsidRPr="00C21EFD">
              <w:t xml:space="preserve"> the extent to which dwellings conform to agreed minimum standards. </w:t>
            </w:r>
            <w:r>
              <w:t>The survey collections ask respondents (</w:t>
            </w:r>
            <w:r w:rsidRPr="002C7FDC">
              <w:t>AIHW 2019):</w:t>
            </w:r>
          </w:p>
          <w:p w14:paraId="0DAEE0E2" w14:textId="77777777" w:rsidR="001E523D" w:rsidRDefault="001E523D" w:rsidP="00A4323F">
            <w:pPr>
              <w:pStyle w:val="BoxListBullet"/>
            </w:pPr>
            <w:r>
              <w:t>which of a list of facilities is present in their dwelling and whether each is in working order</w:t>
            </w:r>
          </w:p>
          <w:p w14:paraId="08F607FC" w14:textId="77777777" w:rsidR="001E523D" w:rsidRPr="00B704A4" w:rsidRDefault="001E523D" w:rsidP="00A4323F">
            <w:pPr>
              <w:pStyle w:val="BoxListBullet"/>
            </w:pPr>
            <w:r>
              <w:t>which of a list of structural problems is present in their dwelling.</w:t>
            </w:r>
          </w:p>
          <w:p w14:paraId="619D05C4" w14:textId="756DF12C" w:rsidR="001E523D" w:rsidRPr="00B704A4" w:rsidRDefault="001E523D" w:rsidP="00A4323F">
            <w:pPr>
              <w:pStyle w:val="Box"/>
            </w:pPr>
            <w:r w:rsidRPr="00661335">
              <w:t xml:space="preserve">A high or increasing </w:t>
            </w:r>
            <w:r w:rsidRPr="00B704A4">
              <w:t xml:space="preserve">proportion </w:t>
            </w:r>
            <w:r>
              <w:t>of households living in dwellings that meet minimum acceptable standards</w:t>
            </w:r>
            <w:r w:rsidRPr="00B704A4">
              <w:t xml:space="preserve"> suggests </w:t>
            </w:r>
            <w:r w:rsidRPr="00DC1255">
              <w:t>a low or decreasing risk of harm from poor dwelling condition.</w:t>
            </w:r>
          </w:p>
          <w:p w14:paraId="5FF32B62" w14:textId="77777777" w:rsidR="001E523D" w:rsidRPr="00B704A4" w:rsidRDefault="001E523D" w:rsidP="00A4323F">
            <w:pPr>
              <w:pStyle w:val="Box"/>
            </w:pPr>
            <w:r w:rsidRPr="00B704A4">
              <w:t>Data for this indicator are reported for public housing, SOMIH</w:t>
            </w:r>
            <w:r>
              <w:t xml:space="preserve">, </w:t>
            </w:r>
            <w:r w:rsidRPr="00B704A4">
              <w:t>community housing</w:t>
            </w:r>
            <w:r>
              <w:t xml:space="preserve"> and ICH and are</w:t>
            </w:r>
            <w:r w:rsidRPr="00B704A4">
              <w:t>:</w:t>
            </w:r>
          </w:p>
          <w:p w14:paraId="0ED4401F" w14:textId="77777777" w:rsidR="001E523D" w:rsidRPr="003336F0" w:rsidRDefault="001E523D" w:rsidP="00A4323F">
            <w:pPr>
              <w:pStyle w:val="BoxListBullet"/>
              <w:numPr>
                <w:ilvl w:val="0"/>
                <w:numId w:val="0"/>
              </w:numPr>
              <w:ind w:left="284"/>
            </w:pPr>
            <w:r w:rsidRPr="00C66F12">
              <w:rPr>
                <w:shd w:val="clear" w:color="auto" w:fill="FCDED3"/>
              </w:rPr>
              <w:t xml:space="preserve">    </w:t>
            </w:r>
            <w:r>
              <w:t xml:space="preserve"> </w:t>
            </w:r>
            <w:r w:rsidRPr="000E6AE9">
              <w:t>not comparable across public housing, SOMIH</w:t>
            </w:r>
            <w:r>
              <w:t>,</w:t>
            </w:r>
            <w:r w:rsidRPr="000E6AE9">
              <w:t xml:space="preserve"> community housing </w:t>
            </w:r>
            <w:r>
              <w:t xml:space="preserve">and ICH </w:t>
            </w:r>
            <w:r w:rsidRPr="000E6AE9">
              <w:t>due to the different demographic profile</w:t>
            </w:r>
            <w:r>
              <w:t>s</w:t>
            </w:r>
            <w:r w:rsidRPr="000E6AE9">
              <w:t xml:space="preserve"> of Aboriginal and Torres Strait Islander tenants and the method of data collection</w:t>
            </w:r>
            <w:r w:rsidRPr="00205A1A">
              <w:t xml:space="preserve">, but are comparable </w:t>
            </w:r>
            <w:r>
              <w:t xml:space="preserve">(subject to caveats) </w:t>
            </w:r>
            <w:r w:rsidRPr="00205A1A">
              <w:t>acr</w:t>
            </w:r>
            <w:r>
              <w:t>oss jurisdictions and over time</w:t>
            </w:r>
          </w:p>
          <w:p w14:paraId="7FAC9FDA" w14:textId="65097485" w:rsidR="001E523D" w:rsidRPr="00B704A4" w:rsidRDefault="001E523D" w:rsidP="002249D4">
            <w:pPr>
              <w:pStyle w:val="BoxListBullet"/>
              <w:numPr>
                <w:ilvl w:val="0"/>
                <w:numId w:val="0"/>
              </w:numPr>
              <w:ind w:left="284"/>
            </w:pPr>
            <w:r w:rsidRPr="00C66F12">
              <w:rPr>
                <w:shd w:val="clear" w:color="auto" w:fill="FCDED3"/>
              </w:rPr>
              <w:t xml:space="preserve">    </w:t>
            </w:r>
            <w:r>
              <w:t xml:space="preserve"> </w:t>
            </w:r>
            <w:r w:rsidRPr="003336F0">
              <w:t xml:space="preserve">incomplete for </w:t>
            </w:r>
            <w:r w:rsidRPr="00205A1A">
              <w:t xml:space="preserve">SOMIH and </w:t>
            </w:r>
            <w:r w:rsidRPr="003336F0">
              <w:t xml:space="preserve">community housing for the current reporting period </w:t>
            </w:r>
            <w:r>
              <w:t>(a</w:t>
            </w:r>
            <w:r w:rsidRPr="003336F0">
              <w:t xml:space="preserve">ll required </w:t>
            </w:r>
            <w:r>
              <w:t xml:space="preserve">2018 </w:t>
            </w:r>
            <w:r w:rsidRPr="003336F0">
              <w:t xml:space="preserve">data </w:t>
            </w:r>
            <w:r w:rsidRPr="00901FC1">
              <w:t>are not available for the NT), but are complete for public housing (all required</w:t>
            </w:r>
            <w:r>
              <w:t xml:space="preserve"> 2018</w:t>
            </w:r>
            <w:r w:rsidRPr="00901FC1">
              <w:t xml:space="preserve"> data) and ICH (all</w:t>
            </w:r>
            <w:r w:rsidRPr="00205A1A">
              <w:t xml:space="preserve"> required </w:t>
            </w:r>
            <w:r w:rsidR="00FD1E25" w:rsidRPr="00205A1A">
              <w:t>201</w:t>
            </w:r>
            <w:r w:rsidR="00FD1E25">
              <w:t>8</w:t>
            </w:r>
            <w:r w:rsidR="00FD1E25">
              <w:noBreakHyphen/>
            </w:r>
            <w:r w:rsidR="00FD1E25" w:rsidRPr="00205A1A">
              <w:t>1</w:t>
            </w:r>
            <w:r w:rsidR="00FD1E25">
              <w:t>9</w:t>
            </w:r>
            <w:r w:rsidR="00FD1E25" w:rsidRPr="00205A1A">
              <w:t xml:space="preserve"> </w:t>
            </w:r>
            <w:r w:rsidRPr="00205A1A">
              <w:t>data).</w:t>
            </w:r>
          </w:p>
        </w:tc>
      </w:tr>
      <w:tr w:rsidR="001E523D" w14:paraId="24FB826D" w14:textId="77777777" w:rsidTr="00A4323F">
        <w:trPr>
          <w:cantSplit/>
        </w:trPr>
        <w:tc>
          <w:tcPr>
            <w:tcW w:w="5000" w:type="pct"/>
            <w:tcBorders>
              <w:top w:val="nil"/>
              <w:left w:val="nil"/>
              <w:bottom w:val="single" w:sz="6" w:space="0" w:color="78A22F"/>
              <w:right w:val="nil"/>
            </w:tcBorders>
            <w:shd w:val="clear" w:color="auto" w:fill="F2F2F2" w:themeFill="background1" w:themeFillShade="F2"/>
          </w:tcPr>
          <w:p w14:paraId="13404DF6" w14:textId="77777777" w:rsidR="001E523D" w:rsidRDefault="001E523D" w:rsidP="00A4323F">
            <w:pPr>
              <w:pStyle w:val="Box"/>
              <w:spacing w:before="0" w:line="120" w:lineRule="exact"/>
            </w:pPr>
          </w:p>
        </w:tc>
      </w:tr>
      <w:tr w:rsidR="001E523D" w:rsidRPr="000863A5" w14:paraId="7F054C4A" w14:textId="77777777" w:rsidTr="00A4323F">
        <w:tc>
          <w:tcPr>
            <w:tcW w:w="5000" w:type="pct"/>
            <w:tcBorders>
              <w:top w:val="single" w:sz="6" w:space="0" w:color="78A22F"/>
              <w:left w:val="nil"/>
              <w:bottom w:val="nil"/>
              <w:right w:val="nil"/>
            </w:tcBorders>
          </w:tcPr>
          <w:p w14:paraId="5FC761F1" w14:textId="77777777" w:rsidR="001E523D" w:rsidRPr="00626D32" w:rsidRDefault="001E523D" w:rsidP="00A4323F">
            <w:pPr>
              <w:pStyle w:val="BoxSpaceBelow"/>
            </w:pPr>
          </w:p>
        </w:tc>
      </w:tr>
    </w:tbl>
    <w:p w14:paraId="415687CD" w14:textId="77777777" w:rsidR="006E3DA8" w:rsidRDefault="006E3DA8" w:rsidP="001E523D">
      <w:pPr>
        <w:pStyle w:val="Heading4"/>
      </w:pPr>
      <w:bookmarkStart w:id="26" w:name="_Toc18675365"/>
      <w:bookmarkStart w:id="27" w:name="_Toc27564462"/>
    </w:p>
    <w:p w14:paraId="57C1086B" w14:textId="77777777" w:rsidR="006E3DA8" w:rsidRDefault="006E3DA8">
      <w:pPr>
        <w:rPr>
          <w:rFonts w:ascii="Arial" w:hAnsi="Arial"/>
          <w:szCs w:val="20"/>
        </w:rPr>
      </w:pPr>
      <w:r>
        <w:br w:type="page"/>
      </w:r>
    </w:p>
    <w:p w14:paraId="119B410A" w14:textId="2FA493A6" w:rsidR="001E523D" w:rsidRPr="00BE5555" w:rsidRDefault="001E523D" w:rsidP="001E523D">
      <w:pPr>
        <w:pStyle w:val="Heading4"/>
      </w:pPr>
      <w:r>
        <w:lastRenderedPageBreak/>
        <w:t xml:space="preserve">Quality — </w:t>
      </w:r>
      <w:r w:rsidRPr="00BE5555">
        <w:t>Customer satisfaction</w:t>
      </w:r>
      <w:bookmarkEnd w:id="26"/>
      <w:bookmarkEnd w:id="27"/>
    </w:p>
    <w:p w14:paraId="0C1ACFF7" w14:textId="6A2944CB" w:rsidR="001E523D" w:rsidRPr="003A2FF6" w:rsidRDefault="001E523D" w:rsidP="001E523D">
      <w:pPr>
        <w:pStyle w:val="BodyText"/>
      </w:pPr>
      <w:r w:rsidRPr="00462933">
        <w:t xml:space="preserve">‘Customer satisfaction’ is an indicator of governments’ objective to provide </w:t>
      </w:r>
      <w:r>
        <w:rPr>
          <w:szCs w:val="24"/>
        </w:rPr>
        <w:t>services that are high quality</w:t>
      </w:r>
      <w:r w:rsidRPr="00462933">
        <w:rPr>
          <w:szCs w:val="24"/>
        </w:rPr>
        <w:t xml:space="preserve"> (box</w:t>
      </w:r>
      <w:r>
        <w:rPr>
          <w:szCs w:val="24"/>
        </w:rPr>
        <w:t> 18</w:t>
      </w:r>
      <w:r w:rsidRPr="00462933">
        <w:rPr>
          <w:szCs w:val="24"/>
        </w:rPr>
        <w:t>.</w:t>
      </w:r>
      <w:r>
        <w:rPr>
          <w:szCs w:val="24"/>
        </w:rPr>
        <w:t>8</w:t>
      </w:r>
      <w:r w:rsidRPr="00462933">
        <w:rPr>
          <w:szCs w:val="24"/>
        </w:rPr>
        <w:t>).</w:t>
      </w:r>
    </w:p>
    <w:p w14:paraId="50353E8B" w14:textId="77777777" w:rsidR="001E523D" w:rsidRDefault="001E523D" w:rsidP="001E523D">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E523D" w14:paraId="0133739E" w14:textId="77777777" w:rsidTr="00A4323F">
        <w:tc>
          <w:tcPr>
            <w:tcW w:w="5000" w:type="pct"/>
            <w:tcBorders>
              <w:top w:val="single" w:sz="6" w:space="0" w:color="78A22F"/>
              <w:left w:val="nil"/>
              <w:bottom w:val="nil"/>
              <w:right w:val="nil"/>
            </w:tcBorders>
            <w:shd w:val="clear" w:color="auto" w:fill="F2F2F2" w:themeFill="background1" w:themeFillShade="F2"/>
          </w:tcPr>
          <w:p w14:paraId="25AD3769" w14:textId="77777777" w:rsidR="001E523D" w:rsidRDefault="001E523D" w:rsidP="00A4323F">
            <w:pPr>
              <w:pStyle w:val="BoxTitle"/>
            </w:pPr>
            <w:r>
              <w:rPr>
                <w:b w:val="0"/>
              </w:rPr>
              <w:t>Box 18.</w:t>
            </w:r>
            <w:r>
              <w:rPr>
                <w:b w:val="0"/>
                <w:noProof/>
              </w:rPr>
              <w:t>8</w:t>
            </w:r>
            <w:r>
              <w:tab/>
            </w:r>
            <w:r w:rsidRPr="00153CFD">
              <w:t>Customer satisfaction</w:t>
            </w:r>
          </w:p>
        </w:tc>
      </w:tr>
      <w:tr w:rsidR="001E523D" w14:paraId="15123B5F" w14:textId="77777777" w:rsidTr="00A4323F">
        <w:trPr>
          <w:cantSplit/>
        </w:trPr>
        <w:tc>
          <w:tcPr>
            <w:tcW w:w="5000" w:type="pct"/>
            <w:tcBorders>
              <w:top w:val="nil"/>
              <w:left w:val="nil"/>
              <w:bottom w:val="nil"/>
              <w:right w:val="nil"/>
            </w:tcBorders>
            <w:shd w:val="clear" w:color="auto" w:fill="F2F2F2" w:themeFill="background1" w:themeFillShade="F2"/>
          </w:tcPr>
          <w:p w14:paraId="2DE717EA" w14:textId="77777777" w:rsidR="001E523D" w:rsidRPr="004F0EC5" w:rsidRDefault="001E523D" w:rsidP="00A4323F">
            <w:pPr>
              <w:pStyle w:val="Box"/>
            </w:pPr>
            <w:r w:rsidRPr="004F0EC5">
              <w:t xml:space="preserve">‘Customer satisfaction’ is defined as the proportion of social housing </w:t>
            </w:r>
            <w:r>
              <w:t xml:space="preserve">survey respondents </w:t>
            </w:r>
            <w:r w:rsidRPr="004F0EC5">
              <w:t xml:space="preserve">who </w:t>
            </w:r>
            <w:r w:rsidRPr="00E411E4">
              <w:t xml:space="preserve">indicated </w:t>
            </w:r>
            <w:r w:rsidRPr="004F0EC5">
              <w:t>they were satisfied or very satisfied with the overall service provided by their housing provider.</w:t>
            </w:r>
          </w:p>
          <w:p w14:paraId="158D4999" w14:textId="77777777" w:rsidR="001E523D" w:rsidRPr="004F0EC5" w:rsidRDefault="001E523D" w:rsidP="00A4323F">
            <w:pPr>
              <w:pStyle w:val="Box"/>
            </w:pPr>
            <w:r w:rsidRPr="004F0EC5">
              <w:t xml:space="preserve">A high or increasing </w:t>
            </w:r>
            <w:r>
              <w:t>level of</w:t>
            </w:r>
            <w:r w:rsidRPr="004F0EC5">
              <w:t xml:space="preserve"> customer satisfaction</w:t>
            </w:r>
            <w:r>
              <w:t xml:space="preserve"> is desirable</w:t>
            </w:r>
            <w:r w:rsidRPr="004F0EC5">
              <w:t>.</w:t>
            </w:r>
          </w:p>
          <w:p w14:paraId="684D2C89" w14:textId="77777777" w:rsidR="001E523D" w:rsidRPr="004F0EC5" w:rsidRDefault="001E523D" w:rsidP="00A4323F">
            <w:pPr>
              <w:pStyle w:val="Box"/>
            </w:pPr>
            <w:r w:rsidRPr="004F0EC5">
              <w:t>Data are reported for public housing, SOMIH and community housing</w:t>
            </w:r>
            <w:r>
              <w:t xml:space="preserve"> (ICH data are not </w:t>
            </w:r>
            <w:r w:rsidRPr="004F0EC5">
              <w:t>available</w:t>
            </w:r>
            <w:r>
              <w:t>) and are:</w:t>
            </w:r>
          </w:p>
          <w:p w14:paraId="73B283EE" w14:textId="77777777" w:rsidR="001E523D" w:rsidRPr="004F0EC5" w:rsidRDefault="001E523D" w:rsidP="00A4323F">
            <w:pPr>
              <w:pStyle w:val="BoxListBullet"/>
              <w:numPr>
                <w:ilvl w:val="0"/>
                <w:numId w:val="0"/>
              </w:numPr>
              <w:ind w:left="284"/>
            </w:pPr>
            <w:r w:rsidRPr="00C66F12">
              <w:rPr>
                <w:shd w:val="clear" w:color="auto" w:fill="F15A25"/>
              </w:rPr>
              <w:t xml:space="preserve">    </w:t>
            </w:r>
            <w:r>
              <w:t xml:space="preserve"> </w:t>
            </w:r>
            <w:r w:rsidRPr="009D6F9C">
              <w:t>comparable (subject to caveats) across public housing, SOMIH and community housing, and across jurisdictions for the current reporting period and over time from 2014</w:t>
            </w:r>
          </w:p>
          <w:p w14:paraId="227C493C" w14:textId="77777777" w:rsidR="001E523D" w:rsidRPr="00A85F9A" w:rsidRDefault="001E523D" w:rsidP="00A4323F">
            <w:pPr>
              <w:pStyle w:val="Box"/>
              <w:ind w:left="284"/>
              <w:rPr>
                <w:rStyle w:val="DraftingNote"/>
                <w:b w:val="0"/>
                <w:color w:val="auto"/>
                <w:sz w:val="20"/>
                <w:u w:val="none"/>
              </w:rPr>
            </w:pPr>
            <w:r w:rsidRPr="00C66F12">
              <w:rPr>
                <w:shd w:val="clear" w:color="auto" w:fill="FCDED3"/>
              </w:rPr>
              <w:t xml:space="preserve">    </w:t>
            </w:r>
            <w:r>
              <w:t xml:space="preserve"> </w:t>
            </w:r>
            <w:r w:rsidRPr="009D6F9C">
              <w:t>incomplete for the current reporting period for SOMIH and community housing (all required 2018 data not available for the NT)</w:t>
            </w:r>
            <w:r>
              <w:t xml:space="preserve">, </w:t>
            </w:r>
            <w:r w:rsidRPr="00205A1A">
              <w:t>but complete for public housing</w:t>
            </w:r>
            <w:r>
              <w:t xml:space="preserve"> (all required 2018 </w:t>
            </w:r>
            <w:r w:rsidRPr="00205A1A">
              <w:t>data)</w:t>
            </w:r>
            <w:r>
              <w:t>.</w:t>
            </w:r>
          </w:p>
        </w:tc>
      </w:tr>
      <w:tr w:rsidR="001E523D" w14:paraId="7A20F866" w14:textId="77777777" w:rsidTr="00A4323F">
        <w:trPr>
          <w:cantSplit/>
        </w:trPr>
        <w:tc>
          <w:tcPr>
            <w:tcW w:w="5000" w:type="pct"/>
            <w:tcBorders>
              <w:top w:val="nil"/>
              <w:left w:val="nil"/>
              <w:bottom w:val="single" w:sz="6" w:space="0" w:color="78A22F"/>
              <w:right w:val="nil"/>
            </w:tcBorders>
            <w:shd w:val="clear" w:color="auto" w:fill="F2F2F2" w:themeFill="background1" w:themeFillShade="F2"/>
          </w:tcPr>
          <w:p w14:paraId="777C644E" w14:textId="77777777" w:rsidR="001E523D" w:rsidRDefault="001E523D" w:rsidP="00A4323F">
            <w:pPr>
              <w:pStyle w:val="Box"/>
              <w:spacing w:before="0" w:line="120" w:lineRule="exact"/>
            </w:pPr>
          </w:p>
        </w:tc>
      </w:tr>
      <w:tr w:rsidR="001E523D" w:rsidRPr="000863A5" w14:paraId="6684DCE2" w14:textId="77777777" w:rsidTr="00A4323F">
        <w:tc>
          <w:tcPr>
            <w:tcW w:w="5000" w:type="pct"/>
            <w:tcBorders>
              <w:top w:val="single" w:sz="6" w:space="0" w:color="78A22F"/>
              <w:left w:val="nil"/>
              <w:bottom w:val="nil"/>
              <w:right w:val="nil"/>
            </w:tcBorders>
          </w:tcPr>
          <w:p w14:paraId="5DE648D4" w14:textId="77777777" w:rsidR="001E523D" w:rsidRPr="00626D32" w:rsidRDefault="001E523D" w:rsidP="00A4323F">
            <w:pPr>
              <w:pStyle w:val="BoxSpaceBelow"/>
            </w:pPr>
          </w:p>
        </w:tc>
      </w:tr>
    </w:tbl>
    <w:p w14:paraId="2DE50878" w14:textId="77777777" w:rsidR="001E523D" w:rsidRDefault="001E523D" w:rsidP="001E523D">
      <w:pPr>
        <w:pStyle w:val="Heading4"/>
      </w:pPr>
      <w:bookmarkStart w:id="28" w:name="_Toc18675366"/>
      <w:bookmarkStart w:id="29" w:name="_Toc27564463"/>
      <w:r w:rsidRPr="009C42D8">
        <w:t>Sustainability</w:t>
      </w:r>
      <w:bookmarkEnd w:id="28"/>
      <w:bookmarkEnd w:id="29"/>
    </w:p>
    <w:p w14:paraId="4682B2E8" w14:textId="5A3AF0F8" w:rsidR="001E523D" w:rsidRDefault="001E523D" w:rsidP="001E523D">
      <w:pPr>
        <w:pStyle w:val="BodyText"/>
      </w:pPr>
      <w:r w:rsidRPr="00AE10B8">
        <w:t>‘Sustainability’ is an indicator of government’s objective to provide services that are sustainable</w:t>
      </w:r>
      <w:r>
        <w:t xml:space="preserve"> (box</w:t>
      </w:r>
      <w:r>
        <w:rPr>
          <w:b/>
        </w:rPr>
        <w:t> </w:t>
      </w:r>
      <w:r>
        <w:t>18.9)</w:t>
      </w:r>
      <w:r w:rsidRPr="00AE10B8">
        <w:t>.</w:t>
      </w:r>
    </w:p>
    <w:p w14:paraId="1F163F2B" w14:textId="77777777"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21D33259" w14:textId="77777777" w:rsidTr="00A4323F">
        <w:trPr>
          <w:tblHeader/>
        </w:trPr>
        <w:tc>
          <w:tcPr>
            <w:tcW w:w="5000" w:type="pct"/>
            <w:tcBorders>
              <w:top w:val="single" w:sz="6" w:space="0" w:color="78A22F"/>
              <w:left w:val="nil"/>
              <w:bottom w:val="nil"/>
              <w:right w:val="nil"/>
            </w:tcBorders>
            <w:shd w:val="clear" w:color="auto" w:fill="F2F2F2"/>
          </w:tcPr>
          <w:p w14:paraId="33821E5A" w14:textId="77777777" w:rsidR="001E523D" w:rsidRDefault="001E523D" w:rsidP="00A4323F">
            <w:pPr>
              <w:pStyle w:val="BoxTitle"/>
            </w:pPr>
            <w:r>
              <w:rPr>
                <w:b w:val="0"/>
              </w:rPr>
              <w:t>Box 18.9</w:t>
            </w:r>
            <w:r>
              <w:tab/>
              <w:t>Sustainability</w:t>
            </w:r>
          </w:p>
        </w:tc>
      </w:tr>
      <w:tr w:rsidR="001E523D" w14:paraId="16F8D6B4" w14:textId="77777777" w:rsidTr="00A4323F">
        <w:tc>
          <w:tcPr>
            <w:tcW w:w="5000" w:type="pct"/>
            <w:tcBorders>
              <w:top w:val="nil"/>
              <w:left w:val="nil"/>
              <w:bottom w:val="nil"/>
              <w:right w:val="nil"/>
            </w:tcBorders>
            <w:shd w:val="clear" w:color="auto" w:fill="F2F2F2"/>
          </w:tcPr>
          <w:p w14:paraId="3E3F3708" w14:textId="77777777" w:rsidR="001E523D" w:rsidRPr="004564E5" w:rsidRDefault="001E523D" w:rsidP="00A4323F">
            <w:pPr>
              <w:pStyle w:val="Box"/>
              <w:rPr>
                <w:shd w:val="clear" w:color="auto" w:fill="FFFF00"/>
              </w:rPr>
            </w:pPr>
            <w:r w:rsidRPr="00D33393">
              <w:t>‘</w:t>
            </w:r>
            <w:r w:rsidRPr="00D51E02">
              <w:t xml:space="preserve">Sustainability’ is broadly defined as the extent to which current social housing needs are met with reference to the need for future generations to meet their own social housing needs. In its broadest sense, this could consider financial, </w:t>
            </w:r>
            <w:proofErr w:type="gramStart"/>
            <w:r w:rsidRPr="00D51E02">
              <w:t>social</w:t>
            </w:r>
            <w:proofErr w:type="gramEnd"/>
            <w:r w:rsidRPr="00D51E02">
              <w:t xml:space="preserve"> and environmental sustainability.</w:t>
            </w:r>
          </w:p>
          <w:p w14:paraId="1A2EF850" w14:textId="77777777" w:rsidR="001E523D" w:rsidRPr="004E45D3" w:rsidRDefault="001E523D" w:rsidP="00A4323F">
            <w:pPr>
              <w:pStyle w:val="Box"/>
              <w:rPr>
                <w:rStyle w:val="DraftingNote"/>
                <w:b w:val="0"/>
                <w:color w:val="auto"/>
                <w:sz w:val="20"/>
                <w:u w:val="none"/>
              </w:rPr>
            </w:pPr>
            <w:r w:rsidRPr="00D51E02">
              <w:t xml:space="preserve">Further development of this indicator concept and potential measure(s) </w:t>
            </w:r>
            <w:r w:rsidRPr="003D09BA">
              <w:t xml:space="preserve">will be considered with reference to </w:t>
            </w:r>
            <w:r w:rsidRPr="003336F0">
              <w:t xml:space="preserve">the policy </w:t>
            </w:r>
            <w:r w:rsidRPr="003D09BA">
              <w:t>environment.</w:t>
            </w:r>
          </w:p>
        </w:tc>
      </w:tr>
      <w:tr w:rsidR="001E523D" w14:paraId="462A1090" w14:textId="77777777" w:rsidTr="00A4323F">
        <w:tc>
          <w:tcPr>
            <w:tcW w:w="5000" w:type="pct"/>
            <w:tcBorders>
              <w:top w:val="nil"/>
              <w:left w:val="nil"/>
              <w:bottom w:val="single" w:sz="6" w:space="0" w:color="78A22F"/>
              <w:right w:val="nil"/>
            </w:tcBorders>
            <w:shd w:val="clear" w:color="auto" w:fill="F2F2F2"/>
          </w:tcPr>
          <w:p w14:paraId="63516F5C" w14:textId="77777777" w:rsidR="001E523D" w:rsidRDefault="001E523D" w:rsidP="00A4323F">
            <w:pPr>
              <w:pStyle w:val="Box"/>
              <w:spacing w:before="0" w:line="120" w:lineRule="exact"/>
            </w:pPr>
          </w:p>
        </w:tc>
      </w:tr>
      <w:tr w:rsidR="001E523D" w:rsidRPr="000863A5" w14:paraId="251E8E1B" w14:textId="77777777" w:rsidTr="00A4323F">
        <w:tc>
          <w:tcPr>
            <w:tcW w:w="5000" w:type="pct"/>
            <w:tcBorders>
              <w:top w:val="single" w:sz="6" w:space="0" w:color="78A22F"/>
              <w:left w:val="nil"/>
              <w:bottom w:val="nil"/>
              <w:right w:val="nil"/>
            </w:tcBorders>
          </w:tcPr>
          <w:p w14:paraId="56CA2C9E" w14:textId="77777777" w:rsidR="001E523D" w:rsidRPr="00626D32" w:rsidRDefault="001E523D" w:rsidP="00A4323F">
            <w:pPr>
              <w:pStyle w:val="BoxSpaceBelow"/>
            </w:pPr>
          </w:p>
        </w:tc>
      </w:tr>
    </w:tbl>
    <w:p w14:paraId="203E5A15" w14:textId="77777777" w:rsidR="001E523D" w:rsidRPr="00457EC9" w:rsidRDefault="001E523D" w:rsidP="001E523D">
      <w:pPr>
        <w:pStyle w:val="Heading3"/>
      </w:pPr>
      <w:bookmarkStart w:id="30" w:name="_Toc18675367"/>
      <w:bookmarkStart w:id="31" w:name="_Toc27564464"/>
      <w:r w:rsidRPr="00457EC9">
        <w:t>Efficiency</w:t>
      </w:r>
      <w:bookmarkEnd w:id="30"/>
      <w:bookmarkEnd w:id="31"/>
    </w:p>
    <w:p w14:paraId="13129AEB" w14:textId="77777777" w:rsidR="001E523D" w:rsidRPr="0041427D" w:rsidRDefault="001E523D" w:rsidP="001E523D">
      <w:pPr>
        <w:pStyle w:val="Heading4"/>
      </w:pPr>
      <w:bookmarkStart w:id="32" w:name="_Toc18675368"/>
      <w:bookmarkStart w:id="33" w:name="_Toc27564465"/>
      <w:r w:rsidRPr="0041427D">
        <w:t>Net recurrent cost per dwelling</w:t>
      </w:r>
      <w:bookmarkEnd w:id="32"/>
      <w:bookmarkEnd w:id="33"/>
    </w:p>
    <w:p w14:paraId="4BCDE131" w14:textId="77777777" w:rsidR="001E523D" w:rsidRDefault="001E523D" w:rsidP="001E523D">
      <w:pPr>
        <w:pStyle w:val="BodyText"/>
      </w:pPr>
      <w:r>
        <w:t>‘Net recurrent cost per dwelling’ is an indicator of governments’ objective to provide services in an efficient manner (box 18.10).</w:t>
      </w:r>
    </w:p>
    <w:p w14:paraId="61E06389" w14:textId="72E61AC2" w:rsidR="001E523D" w:rsidRDefault="001E523D" w:rsidP="00B149D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4C8A0C57" w14:textId="77777777" w:rsidTr="00A4323F">
        <w:trPr>
          <w:tblHeader/>
        </w:trPr>
        <w:tc>
          <w:tcPr>
            <w:tcW w:w="5000" w:type="pct"/>
            <w:tcBorders>
              <w:top w:val="single" w:sz="6" w:space="0" w:color="78A22F"/>
              <w:left w:val="nil"/>
              <w:bottom w:val="nil"/>
              <w:right w:val="nil"/>
            </w:tcBorders>
            <w:shd w:val="clear" w:color="auto" w:fill="F2F2F2"/>
          </w:tcPr>
          <w:p w14:paraId="785769FD" w14:textId="13548DC9" w:rsidR="001E523D" w:rsidRDefault="001E523D" w:rsidP="00C83EAC">
            <w:pPr>
              <w:pStyle w:val="BoxTitle"/>
            </w:pPr>
            <w:r>
              <w:rPr>
                <w:b w:val="0"/>
              </w:rPr>
              <w:t>Box 18.10</w:t>
            </w:r>
            <w:r>
              <w:tab/>
            </w:r>
            <w:r w:rsidRPr="00716EE3">
              <w:t>Net recurrent cost per dwelling</w:t>
            </w:r>
          </w:p>
        </w:tc>
      </w:tr>
      <w:tr w:rsidR="001E523D" w14:paraId="1F1FC075" w14:textId="77777777" w:rsidTr="00A4323F">
        <w:tc>
          <w:tcPr>
            <w:tcW w:w="5000" w:type="pct"/>
            <w:tcBorders>
              <w:top w:val="nil"/>
              <w:left w:val="nil"/>
              <w:bottom w:val="nil"/>
              <w:right w:val="nil"/>
            </w:tcBorders>
            <w:shd w:val="clear" w:color="auto" w:fill="F2F2F2"/>
          </w:tcPr>
          <w:p w14:paraId="67084224" w14:textId="32EC7F6E" w:rsidR="001E523D" w:rsidRPr="00791695" w:rsidRDefault="001E523D" w:rsidP="00A4323F">
            <w:pPr>
              <w:pStyle w:val="Box"/>
            </w:pPr>
            <w:r w:rsidRPr="00791695">
              <w:t xml:space="preserve">‘Net recurrent cost per dwelling’ is defined as the cost of providing assistance per dwelling and is measured as total </w:t>
            </w:r>
            <w:r w:rsidR="001058D7" w:rsidRPr="005A7DCE">
              <w:t xml:space="preserve">net </w:t>
            </w:r>
            <w:r w:rsidRPr="00791695">
              <w:t>recurrent expenditure divided by the total number of dwellings.</w:t>
            </w:r>
          </w:p>
          <w:p w14:paraId="42DE456E" w14:textId="7E5503DA" w:rsidR="001E523D" w:rsidRPr="00791695" w:rsidRDefault="001E523D" w:rsidP="00A4323F">
            <w:pPr>
              <w:pStyle w:val="Box"/>
            </w:pPr>
            <w:r w:rsidRPr="00791695">
              <w:t>Data are reported for public housing, SOMIH, community housing and ICH. Net recurrent cost per dwelling for public housing</w:t>
            </w:r>
            <w:r>
              <w:t xml:space="preserve"> and for SOMIH </w:t>
            </w:r>
            <w:r w:rsidR="00476318">
              <w:t>for</w:t>
            </w:r>
            <w:r>
              <w:t xml:space="preserve"> 2017</w:t>
            </w:r>
            <w:r>
              <w:noBreakHyphen/>
              <w:t>18</w:t>
            </w:r>
            <w:r w:rsidRPr="00791695">
              <w:t xml:space="preserve"> </w:t>
            </w:r>
            <w:r w:rsidR="00476318">
              <w:t xml:space="preserve">and subsequent years </w:t>
            </w:r>
            <w:r w:rsidRPr="00791695">
              <w:t>is reported with user cost of capital both included and excluded. User cost of capital data are not available for SOMIH</w:t>
            </w:r>
            <w:r>
              <w:t xml:space="preserve"> prior to 2017</w:t>
            </w:r>
            <w:r>
              <w:noBreakHyphen/>
              <w:t>18</w:t>
            </w:r>
            <w:r w:rsidRPr="00791695">
              <w:t>,</w:t>
            </w:r>
            <w:r>
              <w:t xml:space="preserve"> nor for</w:t>
            </w:r>
            <w:r w:rsidRPr="00791695">
              <w:t xml:space="preserve"> community housing or ICH. For ICH, total number of dwellings is the number of </w:t>
            </w:r>
            <w:r w:rsidRPr="003715BB">
              <w:t>permanent</w:t>
            </w:r>
            <w:r w:rsidRPr="00791695">
              <w:t xml:space="preserve"> dwellings.</w:t>
            </w:r>
            <w:r w:rsidR="00C058DC">
              <w:t xml:space="preserve"> </w:t>
            </w:r>
          </w:p>
          <w:p w14:paraId="641A6B72" w14:textId="77777777" w:rsidR="001E523D" w:rsidRDefault="001E523D" w:rsidP="00A4323F">
            <w:pPr>
              <w:pStyle w:val="Box"/>
            </w:pPr>
            <w:r w:rsidRPr="00791695">
              <w:t xml:space="preserve">An inconsistency between numerator and denominator with a deflationary effect on community housing cost per dwelling may result from transfer of management responsibility for some public housing and/or SOMIH stock to the community sector, which is underway in some jurisdictions and planned to occur progressively over time in most others. The denominator (number of community housing dwellings at 30 June) may include dwellings for which expenditure for only part of the reporting year is counted in the numerator. This inconsistency is not expected to apply for public housing and </w:t>
            </w:r>
            <w:r w:rsidRPr="00AC7569">
              <w:t>SOMIH</w:t>
            </w:r>
            <w:r w:rsidRPr="00791695">
              <w:t xml:space="preserve"> as the denominator (the average of the number of dwellings for each month of the reporting year) largely accounts for transfer of dwellings to the community sector.</w:t>
            </w:r>
          </w:p>
          <w:p w14:paraId="6498D020" w14:textId="77777777" w:rsidR="001E523D" w:rsidRDefault="001E523D" w:rsidP="00A4323F">
            <w:pPr>
              <w:pStyle w:val="Box"/>
            </w:pPr>
            <w:r>
              <w:t>Care needs to be taken in interpreting the cost of delivering social housing. Data are not comparable across jurisdictions as jurisdictions vary in how completely costs are captured and how consistently data are collected, as well as the degree to which costs can be separated between different models of social housing and homelessness services. There is also potential for double counting — for example, some of the user cost of capital may also be included in operating costs.</w:t>
            </w:r>
          </w:p>
          <w:p w14:paraId="5575420D" w14:textId="1A215BCE" w:rsidR="001E523D" w:rsidRDefault="001E523D" w:rsidP="00A4323F">
            <w:pPr>
              <w:pStyle w:val="Box"/>
            </w:pPr>
            <w:r>
              <w:t>The user cost of capital is the cost of the funds tied up in the capital used to provide social housing. User cost of capital is the main driver of cost per dwelling due to the level of capital expenditure on housing. Data should be interpreted with caution due to variation across jurisdictions in the treatment of assets (table</w:t>
            </w:r>
            <w:r w:rsidR="00C47BFD">
              <w:t> </w:t>
            </w:r>
            <w:r>
              <w:t>18A.51) and service delivery models.</w:t>
            </w:r>
          </w:p>
          <w:p w14:paraId="0E73D22E" w14:textId="77777777" w:rsidR="001E523D" w:rsidRDefault="001E523D" w:rsidP="00A4323F">
            <w:pPr>
              <w:pStyle w:val="Box"/>
            </w:pPr>
            <w:r w:rsidRPr="00704BC2">
              <w:t>Holding other factors — such as dwelling condition and tenant support services — equal, a low or decreasing cost per dwelling is desirable.</w:t>
            </w:r>
          </w:p>
          <w:p w14:paraId="0C52DFF1" w14:textId="77777777" w:rsidR="001E523D" w:rsidRDefault="001E523D" w:rsidP="00A4323F">
            <w:pPr>
              <w:pStyle w:val="Box"/>
            </w:pPr>
            <w:r>
              <w:t>Data reported for this indicator are:</w:t>
            </w:r>
          </w:p>
          <w:p w14:paraId="6265E0FD" w14:textId="77777777" w:rsidR="001E523D" w:rsidRDefault="001E523D" w:rsidP="00A4323F">
            <w:pPr>
              <w:pStyle w:val="BoxListBullet"/>
              <w:numPr>
                <w:ilvl w:val="0"/>
                <w:numId w:val="0"/>
              </w:numPr>
              <w:ind w:left="284"/>
            </w:pPr>
            <w:r w:rsidRPr="00C66F12">
              <w:rPr>
                <w:shd w:val="clear" w:color="auto" w:fill="FCDED3"/>
              </w:rPr>
              <w:t xml:space="preserve">    </w:t>
            </w:r>
            <w:r>
              <w:t xml:space="preserve"> </w:t>
            </w:r>
            <w:r w:rsidRPr="00903B4C">
              <w:t xml:space="preserve">not comparable across public housing, SOMIH, community housing and </w:t>
            </w:r>
            <w:r w:rsidRPr="00500015">
              <w:t>ICH and not comparable across jurisdictions, but for some jurisdictions are comparable over time (subject to caveats)</w:t>
            </w:r>
          </w:p>
          <w:p w14:paraId="79752BD7" w14:textId="088E411C" w:rsidR="001E523D" w:rsidRDefault="001E523D" w:rsidP="008E245D">
            <w:pPr>
              <w:pStyle w:val="Box"/>
              <w:ind w:left="284"/>
            </w:pPr>
            <w:r w:rsidRPr="00C66F12">
              <w:rPr>
                <w:shd w:val="clear" w:color="auto" w:fill="FCDED3"/>
              </w:rPr>
              <w:t xml:space="preserve">    </w:t>
            </w:r>
            <w:r>
              <w:t xml:space="preserve"> </w:t>
            </w:r>
            <w:r w:rsidRPr="00BC71A2">
              <w:t xml:space="preserve">incomplete for community housing </w:t>
            </w:r>
            <w:r w:rsidRPr="00500015">
              <w:t>(</w:t>
            </w:r>
            <w:r w:rsidRPr="00F960D2">
              <w:t>201</w:t>
            </w:r>
            <w:r w:rsidR="008E245D">
              <w:t>8</w:t>
            </w:r>
            <w:r w:rsidRPr="00F960D2">
              <w:noBreakHyphen/>
              <w:t>1</w:t>
            </w:r>
            <w:r w:rsidR="008E245D">
              <w:t>9</w:t>
            </w:r>
            <w:r w:rsidRPr="00F960D2">
              <w:t xml:space="preserve"> NT data) and</w:t>
            </w:r>
            <w:r w:rsidRPr="00BC71A2">
              <w:t xml:space="preserve"> ICH </w:t>
            </w:r>
            <w:r w:rsidRPr="00500015">
              <w:t>(</w:t>
            </w:r>
            <w:r w:rsidR="00B258D4" w:rsidRPr="005A7DCE">
              <w:t>2019-20</w:t>
            </w:r>
            <w:r w:rsidR="008E245D" w:rsidRPr="00F960D2">
              <w:t xml:space="preserve"> </w:t>
            </w:r>
            <w:r w:rsidRPr="00A4311F">
              <w:t>SA and NT</w:t>
            </w:r>
            <w:r w:rsidRPr="00500015">
              <w:t xml:space="preserve"> data) </w:t>
            </w:r>
            <w:r w:rsidRPr="00BC71A2">
              <w:t>for the current reporting period</w:t>
            </w:r>
            <w:r>
              <w:t>,</w:t>
            </w:r>
            <w:r w:rsidRPr="00500015">
              <w:t xml:space="preserve"> but are complete for public housing and SOMIH (a</w:t>
            </w:r>
            <w:r>
              <w:t xml:space="preserve">ll required </w:t>
            </w:r>
            <w:r w:rsidRPr="00A27F3F">
              <w:t>201</w:t>
            </w:r>
            <w:r w:rsidR="00970AAA">
              <w:t>9</w:t>
            </w:r>
            <w:r w:rsidRPr="00A27F3F">
              <w:noBreakHyphen/>
            </w:r>
            <w:r w:rsidR="00970AAA">
              <w:t>20</w:t>
            </w:r>
            <w:r w:rsidRPr="00A27F3F">
              <w:t xml:space="preserve"> </w:t>
            </w:r>
            <w:r w:rsidRPr="00500015">
              <w:t>data are available).</w:t>
            </w:r>
          </w:p>
        </w:tc>
      </w:tr>
      <w:tr w:rsidR="001E523D" w14:paraId="14DC83FE" w14:textId="77777777" w:rsidTr="00A4323F">
        <w:tc>
          <w:tcPr>
            <w:tcW w:w="5000" w:type="pct"/>
            <w:tcBorders>
              <w:top w:val="nil"/>
              <w:left w:val="nil"/>
              <w:bottom w:val="single" w:sz="6" w:space="0" w:color="78A22F"/>
              <w:right w:val="nil"/>
            </w:tcBorders>
            <w:shd w:val="clear" w:color="auto" w:fill="F2F2F2"/>
          </w:tcPr>
          <w:p w14:paraId="20270AF8" w14:textId="77777777" w:rsidR="001E523D" w:rsidRDefault="001E523D" w:rsidP="00A4323F">
            <w:pPr>
              <w:pStyle w:val="Box"/>
              <w:spacing w:before="0" w:line="120" w:lineRule="exact"/>
            </w:pPr>
          </w:p>
        </w:tc>
      </w:tr>
      <w:tr w:rsidR="001E523D" w:rsidRPr="000863A5" w14:paraId="734BE80E" w14:textId="77777777" w:rsidTr="00A4323F">
        <w:tc>
          <w:tcPr>
            <w:tcW w:w="5000" w:type="pct"/>
            <w:tcBorders>
              <w:top w:val="single" w:sz="6" w:space="0" w:color="78A22F"/>
              <w:left w:val="nil"/>
              <w:bottom w:val="nil"/>
              <w:right w:val="nil"/>
            </w:tcBorders>
          </w:tcPr>
          <w:p w14:paraId="6AC06E14" w14:textId="009D76F9" w:rsidR="001E523D" w:rsidRPr="00626D32" w:rsidRDefault="001E523D" w:rsidP="00A4323F">
            <w:pPr>
              <w:pStyle w:val="BoxSpaceBelow"/>
            </w:pPr>
          </w:p>
        </w:tc>
      </w:tr>
    </w:tbl>
    <w:p w14:paraId="41DCCD8C" w14:textId="77777777" w:rsidR="001E523D" w:rsidRPr="00880D34" w:rsidRDefault="001E523D" w:rsidP="001E523D">
      <w:pPr>
        <w:pStyle w:val="Heading3"/>
      </w:pPr>
      <w:bookmarkStart w:id="34" w:name="_Toc18675369"/>
      <w:bookmarkStart w:id="35" w:name="_Toc27564466"/>
      <w:r w:rsidRPr="00880D34">
        <w:t>Outcomes</w:t>
      </w:r>
      <w:bookmarkEnd w:id="34"/>
      <w:bookmarkEnd w:id="35"/>
    </w:p>
    <w:p w14:paraId="4EC65B2F" w14:textId="77777777" w:rsidR="001E523D" w:rsidRDefault="001E523D" w:rsidP="001E523D">
      <w:pPr>
        <w:pStyle w:val="BodyText"/>
      </w:pPr>
      <w:r>
        <w:t>Outcomes are the impact of services on the status of an individual or group (see section 1).</w:t>
      </w:r>
    </w:p>
    <w:p w14:paraId="2AA5066C" w14:textId="77777777" w:rsidR="001E523D" w:rsidRDefault="001E523D" w:rsidP="001E523D">
      <w:pPr>
        <w:pStyle w:val="Heading4"/>
      </w:pPr>
      <w:bookmarkStart w:id="36" w:name="_Toc18675370"/>
      <w:bookmarkStart w:id="37" w:name="_Toc27564467"/>
      <w:r w:rsidRPr="008355AE">
        <w:lastRenderedPageBreak/>
        <w:t>Social and economic participation</w:t>
      </w:r>
      <w:bookmarkEnd w:id="36"/>
      <w:bookmarkEnd w:id="37"/>
    </w:p>
    <w:p w14:paraId="17F429BD" w14:textId="77777777" w:rsidR="001E523D" w:rsidRDefault="001E523D" w:rsidP="001E523D">
      <w:pPr>
        <w:pStyle w:val="BodyText"/>
      </w:pPr>
      <w:r w:rsidRPr="008355AE">
        <w:t>‘Social and economic participation’ is an indicator of government’s objective to provide social housing assistance that supports wellbeing and contributes to social and econo</w:t>
      </w:r>
      <w:r>
        <w:t>mic participation (box 18.11</w:t>
      </w:r>
      <w:r w:rsidRPr="008355AE">
        <w:t>).</w:t>
      </w:r>
    </w:p>
    <w:p w14:paraId="3BEE6E0F" w14:textId="77777777" w:rsidR="00EC5307" w:rsidRDefault="00EC5307" w:rsidP="00EC5307">
      <w:pPr>
        <w:pStyle w:val="BoxSpaceAbove"/>
      </w:pPr>
    </w:p>
    <w:p w14:paraId="6DB24D49" w14:textId="33E9D08D" w:rsidR="001E523D" w:rsidRPr="003D03EB" w:rsidRDefault="001E523D" w:rsidP="001E523D">
      <w:pPr>
        <w:pStyle w:val="BodyText"/>
        <w:rPr>
          <w:b/>
          <w:vanish/>
          <w:color w:val="FF00FF"/>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3255E960" w14:textId="77777777" w:rsidTr="00A4323F">
        <w:trPr>
          <w:tblHeader/>
        </w:trPr>
        <w:tc>
          <w:tcPr>
            <w:tcW w:w="5000" w:type="pct"/>
            <w:tcBorders>
              <w:top w:val="single" w:sz="6" w:space="0" w:color="78A22F"/>
              <w:left w:val="nil"/>
              <w:bottom w:val="nil"/>
              <w:right w:val="nil"/>
            </w:tcBorders>
            <w:shd w:val="clear" w:color="auto" w:fill="F2F2F2"/>
          </w:tcPr>
          <w:p w14:paraId="6C4BC874" w14:textId="77777777" w:rsidR="001E523D" w:rsidRDefault="001E523D" w:rsidP="00A4323F">
            <w:pPr>
              <w:pStyle w:val="BoxTitle"/>
            </w:pPr>
            <w:r>
              <w:rPr>
                <w:b w:val="0"/>
              </w:rPr>
              <w:t>Box 18.</w:t>
            </w:r>
            <w:r>
              <w:rPr>
                <w:b w:val="0"/>
                <w:noProof/>
              </w:rPr>
              <w:t>11</w:t>
            </w:r>
            <w:r>
              <w:tab/>
            </w:r>
            <w:r w:rsidRPr="008355AE">
              <w:t>Social and economic participation</w:t>
            </w:r>
          </w:p>
        </w:tc>
      </w:tr>
      <w:tr w:rsidR="001E523D" w14:paraId="1D4A0103" w14:textId="77777777" w:rsidTr="00A4323F">
        <w:tc>
          <w:tcPr>
            <w:tcW w:w="5000" w:type="pct"/>
            <w:tcBorders>
              <w:top w:val="nil"/>
              <w:left w:val="nil"/>
              <w:bottom w:val="nil"/>
              <w:right w:val="nil"/>
            </w:tcBorders>
            <w:shd w:val="clear" w:color="auto" w:fill="F2F2F2"/>
          </w:tcPr>
          <w:p w14:paraId="24E6DC9F" w14:textId="77777777" w:rsidR="001E523D" w:rsidRDefault="001E523D" w:rsidP="00A4323F">
            <w:pPr>
              <w:pStyle w:val="Box"/>
            </w:pPr>
            <w:r w:rsidRPr="00B24A79">
              <w:t>‘</w:t>
            </w:r>
            <w:r w:rsidRPr="00D73362">
              <w:t>Social and economic participation</w:t>
            </w:r>
            <w:r w:rsidRPr="00B24A79">
              <w:t xml:space="preserve">’ is defined as </w:t>
            </w:r>
            <w:r>
              <w:t>the proportion of social housing tenants engaged in social and/or work</w:t>
            </w:r>
            <w:r>
              <w:noBreakHyphen/>
              <w:t>related activities.</w:t>
            </w:r>
          </w:p>
          <w:p w14:paraId="47AA83F2" w14:textId="77777777" w:rsidR="001E523D" w:rsidRDefault="001E523D" w:rsidP="00A4323F">
            <w:pPr>
              <w:pStyle w:val="Box"/>
            </w:pPr>
            <w:r w:rsidRPr="00B24D33">
              <w:t xml:space="preserve">Living in stable, </w:t>
            </w:r>
            <w:proofErr w:type="gramStart"/>
            <w:r w:rsidRPr="00B24D33">
              <w:t>safe</w:t>
            </w:r>
            <w:proofErr w:type="gramEnd"/>
            <w:r w:rsidRPr="00B24D33">
              <w:t xml:space="preserve"> and secure </w:t>
            </w:r>
            <w:r>
              <w:t>housing</w:t>
            </w:r>
            <w:r w:rsidRPr="00B24D33">
              <w:t xml:space="preserve"> is associated with greater capacity to participate in social and economic activity and </w:t>
            </w:r>
            <w:r>
              <w:t>improved household wellbeing.</w:t>
            </w:r>
          </w:p>
          <w:p w14:paraId="7394BFFD" w14:textId="5DCC6606" w:rsidR="001E523D" w:rsidRPr="00B24A79" w:rsidRDefault="001E523D" w:rsidP="00A4323F">
            <w:pPr>
              <w:pStyle w:val="Box"/>
            </w:pPr>
            <w:r w:rsidRPr="00B24A79">
              <w:t xml:space="preserve">A high or increasing </w:t>
            </w:r>
            <w:r>
              <w:t>proportion</w:t>
            </w:r>
            <w:r w:rsidRPr="00B24A79">
              <w:t xml:space="preserve"> </w:t>
            </w:r>
            <w:r w:rsidRPr="007C7543">
              <w:t>of social housing tenants engaged in social and/or work</w:t>
            </w:r>
            <w:r w:rsidR="00C208E6">
              <w:noBreakHyphen/>
            </w:r>
            <w:r w:rsidRPr="007C7543">
              <w:t xml:space="preserve">related activities </w:t>
            </w:r>
            <w:r w:rsidRPr="00B24A79">
              <w:t>is desirable.</w:t>
            </w:r>
          </w:p>
          <w:p w14:paraId="2C964E63" w14:textId="77777777" w:rsidR="001E523D" w:rsidRDefault="001E523D" w:rsidP="00A4323F">
            <w:pPr>
              <w:pStyle w:val="Box"/>
            </w:pPr>
            <w:r w:rsidRPr="00B24A79">
              <w:t>Data are not yet available for reporting against this indicator.</w:t>
            </w:r>
          </w:p>
        </w:tc>
      </w:tr>
      <w:tr w:rsidR="001E523D" w14:paraId="4453B89D" w14:textId="77777777" w:rsidTr="00A4323F">
        <w:tc>
          <w:tcPr>
            <w:tcW w:w="5000" w:type="pct"/>
            <w:tcBorders>
              <w:top w:val="nil"/>
              <w:left w:val="nil"/>
              <w:bottom w:val="single" w:sz="6" w:space="0" w:color="78A22F"/>
              <w:right w:val="nil"/>
            </w:tcBorders>
            <w:shd w:val="clear" w:color="auto" w:fill="F2F2F2"/>
          </w:tcPr>
          <w:p w14:paraId="3B1589C9" w14:textId="77777777" w:rsidR="001E523D" w:rsidRDefault="001E523D" w:rsidP="00A4323F">
            <w:pPr>
              <w:pStyle w:val="Box"/>
              <w:spacing w:before="0" w:line="120" w:lineRule="exact"/>
            </w:pPr>
          </w:p>
        </w:tc>
      </w:tr>
      <w:tr w:rsidR="001E523D" w:rsidRPr="000863A5" w14:paraId="1AA31644" w14:textId="77777777" w:rsidTr="00A4323F">
        <w:tc>
          <w:tcPr>
            <w:tcW w:w="5000" w:type="pct"/>
            <w:tcBorders>
              <w:top w:val="single" w:sz="6" w:space="0" w:color="78A22F"/>
              <w:left w:val="nil"/>
              <w:bottom w:val="nil"/>
              <w:right w:val="nil"/>
            </w:tcBorders>
          </w:tcPr>
          <w:p w14:paraId="5ADE3BA5" w14:textId="2BF27D81" w:rsidR="001E523D" w:rsidRPr="00626D32" w:rsidRDefault="001E523D" w:rsidP="00A4323F">
            <w:pPr>
              <w:pStyle w:val="BoxSpaceBelow"/>
            </w:pPr>
          </w:p>
        </w:tc>
      </w:tr>
    </w:tbl>
    <w:p w14:paraId="16549D6F" w14:textId="77777777" w:rsidR="00F90583" w:rsidRDefault="00F90583" w:rsidP="004B2A15">
      <w:pPr>
        <w:pStyle w:val="BodyText"/>
      </w:pPr>
    </w:p>
    <w:p w14:paraId="472877FA" w14:textId="1C45DC19" w:rsidR="00F90583" w:rsidRPr="00FD1E41" w:rsidRDefault="00E12DE5" w:rsidP="00F90583">
      <w:pPr>
        <w:pStyle w:val="Heading2"/>
      </w:pPr>
      <w:bookmarkStart w:id="38" w:name="_Toc459884658"/>
      <w:bookmarkStart w:id="39" w:name="_Toc3322833"/>
      <w:bookmarkStart w:id="40" w:name="_Toc27564468"/>
      <w:r>
        <w:t>18</w:t>
      </w:r>
      <w:r w:rsidR="00F90583">
        <w:t>.</w:t>
      </w:r>
      <w:r>
        <w:t>3</w:t>
      </w:r>
      <w:r w:rsidR="00F90583">
        <w:tab/>
      </w:r>
      <w:bookmarkStart w:id="41" w:name="_Toc314211352"/>
      <w:bookmarkStart w:id="42" w:name="_Toc396143035"/>
      <w:r w:rsidR="00F90583" w:rsidRPr="00FD1E41">
        <w:t xml:space="preserve">Definitions </w:t>
      </w:r>
      <w:r w:rsidR="00F90583" w:rsidRPr="00653C7C">
        <w:t>of</w:t>
      </w:r>
      <w:r w:rsidR="00F90583" w:rsidRPr="00FD1E41">
        <w:t xml:space="preserve"> key terms</w:t>
      </w:r>
      <w:bookmarkEnd w:id="38"/>
      <w:bookmarkEnd w:id="39"/>
      <w:bookmarkEnd w:id="41"/>
      <w:bookmarkEnd w:id="42"/>
      <w:bookmarkEnd w:id="40"/>
    </w:p>
    <w:p w14:paraId="768F84B0" w14:textId="77777777" w:rsidR="00F90583" w:rsidRPr="007D1214" w:rsidRDefault="00F90583" w:rsidP="00F90583">
      <w:pPr>
        <w:pStyle w:val="BoxSpaceAbove"/>
      </w:pPr>
    </w:p>
    <w:tbl>
      <w:tblPr>
        <w:tblW w:w="8789" w:type="dxa"/>
        <w:tblInd w:w="-5" w:type="dxa"/>
        <w:tblLayout w:type="fixed"/>
        <w:tblCellMar>
          <w:left w:w="0" w:type="dxa"/>
          <w:right w:w="0" w:type="dxa"/>
        </w:tblCellMar>
        <w:tblLook w:val="00A0" w:firstRow="1" w:lastRow="0" w:firstColumn="1" w:lastColumn="0" w:noHBand="0" w:noVBand="0"/>
      </w:tblPr>
      <w:tblGrid>
        <w:gridCol w:w="2410"/>
        <w:gridCol w:w="6379"/>
      </w:tblGrid>
      <w:tr w:rsidR="00E12DE5" w:rsidRPr="002576C5" w14:paraId="21ABBAFE" w14:textId="77777777" w:rsidTr="00E12DE5">
        <w:tc>
          <w:tcPr>
            <w:tcW w:w="2410" w:type="dxa"/>
          </w:tcPr>
          <w:p w14:paraId="5C07EEF4" w14:textId="3529E8BF" w:rsidR="00E12DE5" w:rsidRDefault="00E12DE5" w:rsidP="00802326">
            <w:pPr>
              <w:pStyle w:val="TableBodyText"/>
              <w:keepNext w:val="0"/>
              <w:keepLines w:val="0"/>
              <w:spacing w:before="60" w:after="60"/>
              <w:ind w:right="6"/>
              <w:jc w:val="left"/>
              <w:rPr>
                <w:b/>
              </w:rPr>
            </w:pPr>
            <w:r w:rsidRPr="002576C5">
              <w:rPr>
                <w:b/>
              </w:rPr>
              <w:t>Aboriginal and Torres Strait Islander household</w:t>
            </w:r>
          </w:p>
        </w:tc>
        <w:tc>
          <w:tcPr>
            <w:tcW w:w="6379" w:type="dxa"/>
          </w:tcPr>
          <w:p w14:paraId="6F645FB4" w14:textId="1AEDE9D7" w:rsidR="00E12DE5" w:rsidRDefault="00E12DE5" w:rsidP="00802326">
            <w:pPr>
              <w:pStyle w:val="TableBodyText"/>
              <w:keepNext w:val="0"/>
              <w:keepLines w:val="0"/>
              <w:spacing w:before="60" w:after="60"/>
              <w:ind w:right="6"/>
              <w:jc w:val="left"/>
            </w:pPr>
            <w:r w:rsidRPr="002576C5">
              <w:t>A household with one or more members (including children) who identify as Aboriginal and/or Torres Strait Islander.</w:t>
            </w:r>
          </w:p>
        </w:tc>
      </w:tr>
      <w:tr w:rsidR="00E12DE5" w:rsidRPr="002576C5" w14:paraId="6F8154F4" w14:textId="77777777" w:rsidTr="00E12DE5">
        <w:tc>
          <w:tcPr>
            <w:tcW w:w="2410" w:type="dxa"/>
          </w:tcPr>
          <w:p w14:paraId="02794C71" w14:textId="23D2B8E9" w:rsidR="00E12DE5" w:rsidRDefault="00E12DE5" w:rsidP="00802326">
            <w:pPr>
              <w:pStyle w:val="TableBodyText"/>
              <w:keepNext w:val="0"/>
              <w:keepLines w:val="0"/>
              <w:spacing w:before="60" w:after="60"/>
              <w:ind w:right="6"/>
              <w:jc w:val="left"/>
              <w:rPr>
                <w:b/>
              </w:rPr>
            </w:pPr>
            <w:r w:rsidRPr="002576C5">
              <w:rPr>
                <w:b/>
              </w:rPr>
              <w:t>Administration costs</w:t>
            </w:r>
          </w:p>
        </w:tc>
        <w:tc>
          <w:tcPr>
            <w:tcW w:w="6379" w:type="dxa"/>
          </w:tcPr>
          <w:p w14:paraId="3430936E" w14:textId="77777777" w:rsidR="00E12DE5" w:rsidRPr="002576C5" w:rsidRDefault="00E12DE5" w:rsidP="00802326">
            <w:pPr>
              <w:pStyle w:val="TableBodyText"/>
              <w:keepNext w:val="0"/>
              <w:keepLines w:val="0"/>
              <w:spacing w:before="60" w:after="60"/>
              <w:ind w:right="6"/>
              <w:jc w:val="left"/>
            </w:pPr>
            <w:r w:rsidRPr="002576C5">
              <w:t>Those costs associated with the administration offices of the property manager and tenancy manager. They include the general accounting and personnel function costs relating to:</w:t>
            </w:r>
          </w:p>
          <w:p w14:paraId="4694B0E3" w14:textId="77777777" w:rsidR="00E12DE5" w:rsidRPr="006F2985" w:rsidRDefault="00E12DE5" w:rsidP="006F2985">
            <w:pPr>
              <w:pStyle w:val="TableBullet"/>
            </w:pPr>
            <w:r w:rsidRPr="006F2985">
              <w:t xml:space="preserve">employee expenses (for example, superannuation, compensation, accrued </w:t>
            </w:r>
            <w:proofErr w:type="gramStart"/>
            <w:r w:rsidRPr="006F2985">
              <w:t>leave</w:t>
            </w:r>
            <w:proofErr w:type="gramEnd"/>
            <w:r w:rsidRPr="006F2985">
              <w:t xml:space="preserve"> and training)</w:t>
            </w:r>
          </w:p>
          <w:p w14:paraId="5152CAB5" w14:textId="77777777" w:rsidR="00E12DE5" w:rsidRPr="006F2985" w:rsidRDefault="00E12DE5" w:rsidP="006F2985">
            <w:pPr>
              <w:pStyle w:val="TableBullet"/>
            </w:pPr>
            <w:r w:rsidRPr="006F2985">
              <w:t>supplies and services expenses (including stationery, postage, telephone, office equipment, information systems and vehicle expenses)</w:t>
            </w:r>
          </w:p>
          <w:p w14:paraId="70375E36" w14:textId="77777777" w:rsidR="00E12DE5" w:rsidRPr="006F2985" w:rsidRDefault="00E12DE5" w:rsidP="006F2985">
            <w:pPr>
              <w:pStyle w:val="TableBullet"/>
            </w:pPr>
            <w:r w:rsidRPr="006F2985">
              <w:t>rent</w:t>
            </w:r>
          </w:p>
          <w:p w14:paraId="1726435E" w14:textId="77777777" w:rsidR="00E12DE5" w:rsidRPr="006F2985" w:rsidRDefault="00E12DE5" w:rsidP="006F2985">
            <w:pPr>
              <w:pStyle w:val="TableBullet"/>
            </w:pPr>
            <w:r w:rsidRPr="006F2985">
              <w:t>grants and subsidies (excluding rental subsidies)</w:t>
            </w:r>
          </w:p>
          <w:p w14:paraId="31F32978" w14:textId="77777777" w:rsidR="00E12DE5" w:rsidRPr="006F2985" w:rsidRDefault="00E12DE5" w:rsidP="006F2985">
            <w:pPr>
              <w:pStyle w:val="TableBullet"/>
            </w:pPr>
            <w:r w:rsidRPr="006F2985">
              <w:t>expenditure incurred by other government agencies on behalf of the public housing agency</w:t>
            </w:r>
          </w:p>
          <w:p w14:paraId="556BC92D" w14:textId="588A9C89" w:rsidR="00E12DE5" w:rsidRDefault="00E12DE5" w:rsidP="006F2985">
            <w:pPr>
              <w:pStyle w:val="TableBullet"/>
            </w:pPr>
            <w:r w:rsidRPr="006F2985">
              <w:t>contracted</w:t>
            </w:r>
            <w:r w:rsidRPr="002576C5">
              <w:t xml:space="preserve"> public housing management services.</w:t>
            </w:r>
          </w:p>
        </w:tc>
      </w:tr>
      <w:tr w:rsidR="00E12DE5" w:rsidRPr="002576C5" w14:paraId="17BCD55B" w14:textId="77777777" w:rsidTr="00E12DE5">
        <w:tc>
          <w:tcPr>
            <w:tcW w:w="2410" w:type="dxa"/>
          </w:tcPr>
          <w:p w14:paraId="0FD8F53C" w14:textId="660C8E18" w:rsidR="00E12DE5" w:rsidRDefault="00E12DE5" w:rsidP="00802326">
            <w:pPr>
              <w:pStyle w:val="TableBodyText"/>
              <w:keepNext w:val="0"/>
              <w:keepLines w:val="0"/>
              <w:spacing w:before="60" w:after="60"/>
              <w:ind w:right="6"/>
              <w:jc w:val="left"/>
              <w:rPr>
                <w:b/>
              </w:rPr>
            </w:pPr>
            <w:r w:rsidRPr="002576C5">
              <w:rPr>
                <w:b/>
              </w:rPr>
              <w:t>Assessable income</w:t>
            </w:r>
          </w:p>
        </w:tc>
        <w:tc>
          <w:tcPr>
            <w:tcW w:w="6379" w:type="dxa"/>
          </w:tcPr>
          <w:p w14:paraId="7737FB8D" w14:textId="58A41999" w:rsidR="00E12DE5" w:rsidRDefault="00E12DE5" w:rsidP="00802326">
            <w:pPr>
              <w:pStyle w:val="TableBullet"/>
              <w:keepNext w:val="0"/>
              <w:keepLines w:val="0"/>
              <w:numPr>
                <w:ilvl w:val="0"/>
                <w:numId w:val="0"/>
              </w:numPr>
              <w:spacing w:before="60" w:after="60"/>
              <w:ind w:left="6" w:right="6"/>
              <w:jc w:val="both"/>
            </w:pPr>
            <w:r w:rsidRPr="002576C5">
              <w:t xml:space="preserve">The income used to assess eligibility for housing assistance and to calculate the rental housing rebate that allows a household to pay a rent lower than the market rent. </w:t>
            </w:r>
            <w:r>
              <w:t xml:space="preserve">The components of income that are counted as assessable may vary </w:t>
            </w:r>
            <w:r w:rsidRPr="002576C5">
              <w:t>across jurisdictions.</w:t>
            </w:r>
          </w:p>
        </w:tc>
      </w:tr>
      <w:tr w:rsidR="00E12DE5" w:rsidRPr="002576C5" w14:paraId="1989215E" w14:textId="77777777" w:rsidTr="00E12DE5">
        <w:tc>
          <w:tcPr>
            <w:tcW w:w="2410" w:type="dxa"/>
          </w:tcPr>
          <w:p w14:paraId="1404A4C8" w14:textId="0AB42B8E" w:rsidR="00E12DE5" w:rsidRDefault="00E12DE5" w:rsidP="00802326">
            <w:pPr>
              <w:pStyle w:val="TableBodyText"/>
              <w:keepNext w:val="0"/>
              <w:keepLines w:val="0"/>
              <w:spacing w:before="60" w:after="60"/>
              <w:ind w:right="6"/>
              <w:jc w:val="left"/>
              <w:rPr>
                <w:b/>
              </w:rPr>
            </w:pPr>
            <w:r w:rsidRPr="002576C5">
              <w:rPr>
                <w:b/>
              </w:rPr>
              <w:t>Canadian National Occupancy Standard (CNOS)</w:t>
            </w:r>
          </w:p>
        </w:tc>
        <w:tc>
          <w:tcPr>
            <w:tcW w:w="6379" w:type="dxa"/>
          </w:tcPr>
          <w:p w14:paraId="2A76D6A7" w14:textId="77777777" w:rsidR="00E12DE5" w:rsidRPr="002576C5" w:rsidRDefault="00E12DE5" w:rsidP="00802326">
            <w:pPr>
              <w:pStyle w:val="TableBodyText"/>
              <w:keepNext w:val="0"/>
              <w:keepLines w:val="0"/>
              <w:spacing w:before="60" w:after="60"/>
              <w:ind w:right="6"/>
              <w:jc w:val="left"/>
            </w:pPr>
            <w:r w:rsidRPr="002576C5">
              <w:t>A standardised measure of housing utilisation and overcrowding. This measure assesses a household</w:t>
            </w:r>
            <w:r>
              <w:t>’</w:t>
            </w:r>
            <w:r w:rsidRPr="002576C5">
              <w:t>s bedroom requirements by specifying that:</w:t>
            </w:r>
          </w:p>
          <w:p w14:paraId="2C1596DE" w14:textId="77777777" w:rsidR="00E12DE5" w:rsidRPr="006F2985" w:rsidRDefault="00E12DE5" w:rsidP="006F2985">
            <w:pPr>
              <w:pStyle w:val="TableBullet"/>
            </w:pPr>
            <w:r w:rsidRPr="006F2985">
              <w:lastRenderedPageBreak/>
              <w:t>there should be no more than two people per bedroom</w:t>
            </w:r>
          </w:p>
          <w:p w14:paraId="53498017" w14:textId="77777777" w:rsidR="00E12DE5" w:rsidRPr="006F2985" w:rsidRDefault="00E12DE5" w:rsidP="006F2985">
            <w:pPr>
              <w:pStyle w:val="TableBullet"/>
            </w:pPr>
            <w:r w:rsidRPr="006F2985">
              <w:t>a household of one unattached individual may reasonably occupy a bed–sit (i.e. have no bedroom)</w:t>
            </w:r>
          </w:p>
          <w:p w14:paraId="45C3CA19" w14:textId="77777777" w:rsidR="00E12DE5" w:rsidRPr="006F2985" w:rsidRDefault="00E12DE5" w:rsidP="006F2985">
            <w:pPr>
              <w:pStyle w:val="TableBullet"/>
            </w:pPr>
            <w:r w:rsidRPr="006F2985">
              <w:t>couples and parents should have a separate bedroom</w:t>
            </w:r>
          </w:p>
          <w:p w14:paraId="032CEF76" w14:textId="77777777" w:rsidR="00E12DE5" w:rsidRPr="006F2985" w:rsidRDefault="00E12DE5" w:rsidP="006F2985">
            <w:pPr>
              <w:pStyle w:val="TableBullet"/>
            </w:pPr>
            <w:r w:rsidRPr="006F2985">
              <w:t>children less than five years of age, of different sexes, may reasonably share a bedroom</w:t>
            </w:r>
          </w:p>
          <w:p w14:paraId="6DEB3531" w14:textId="77777777" w:rsidR="00E12DE5" w:rsidRPr="006F2985" w:rsidRDefault="00E12DE5" w:rsidP="006F2985">
            <w:pPr>
              <w:pStyle w:val="TableBullet"/>
            </w:pPr>
            <w:r w:rsidRPr="006F2985">
              <w:t>children five years of age or over, of the opposite sex, should not share a bedroom</w:t>
            </w:r>
          </w:p>
          <w:p w14:paraId="516A44D8" w14:textId="77777777" w:rsidR="00E12DE5" w:rsidRPr="006F2985" w:rsidRDefault="00E12DE5" w:rsidP="006F2985">
            <w:pPr>
              <w:pStyle w:val="TableBullet"/>
            </w:pPr>
            <w:r w:rsidRPr="006F2985">
              <w:t>children less than 18 years of age and of the same sex may reasonably share a bedroom; and</w:t>
            </w:r>
          </w:p>
          <w:p w14:paraId="3D0AE791" w14:textId="74E002C9" w:rsidR="00E12DE5" w:rsidRDefault="00E12DE5" w:rsidP="006F2985">
            <w:pPr>
              <w:pStyle w:val="TableBullet"/>
            </w:pPr>
            <w:r w:rsidRPr="006F2985">
              <w:t>single household members aged 18 years or over should have a separate bedroom.</w:t>
            </w:r>
          </w:p>
        </w:tc>
      </w:tr>
      <w:tr w:rsidR="00E12DE5" w:rsidRPr="002576C5" w14:paraId="0DDC9344" w14:textId="77777777" w:rsidTr="00E12DE5">
        <w:tc>
          <w:tcPr>
            <w:tcW w:w="2410" w:type="dxa"/>
          </w:tcPr>
          <w:p w14:paraId="4FC86282" w14:textId="3CF78B3A" w:rsidR="00E12DE5" w:rsidRDefault="00E12DE5" w:rsidP="00802326">
            <w:pPr>
              <w:pStyle w:val="TableBodyText"/>
              <w:keepNext w:val="0"/>
              <w:keepLines w:val="0"/>
              <w:spacing w:before="60" w:after="60"/>
              <w:ind w:right="6"/>
              <w:jc w:val="left"/>
              <w:rPr>
                <w:b/>
              </w:rPr>
            </w:pPr>
            <w:r w:rsidRPr="002576C5">
              <w:rPr>
                <w:b/>
              </w:rPr>
              <w:lastRenderedPageBreak/>
              <w:t>Comparability</w:t>
            </w:r>
          </w:p>
        </w:tc>
        <w:tc>
          <w:tcPr>
            <w:tcW w:w="6379" w:type="dxa"/>
          </w:tcPr>
          <w:p w14:paraId="6C21985B" w14:textId="51D6BE28" w:rsidR="00E12DE5" w:rsidRDefault="00E12DE5" w:rsidP="00802326">
            <w:pPr>
              <w:pStyle w:val="TableBullet"/>
              <w:keepNext w:val="0"/>
              <w:keepLines w:val="0"/>
              <w:numPr>
                <w:ilvl w:val="0"/>
                <w:numId w:val="0"/>
              </w:numPr>
              <w:spacing w:before="60" w:after="60"/>
              <w:ind w:left="6" w:right="6"/>
              <w:jc w:val="both"/>
            </w:pPr>
            <w:r w:rsidRPr="002576C5">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E12DE5" w:rsidRPr="002576C5" w14:paraId="2DA2E26E" w14:textId="77777777" w:rsidTr="00E12DE5">
        <w:tc>
          <w:tcPr>
            <w:tcW w:w="2410" w:type="dxa"/>
          </w:tcPr>
          <w:p w14:paraId="75EADF7B" w14:textId="7FA50316" w:rsidR="00E12DE5" w:rsidRDefault="00E12DE5" w:rsidP="00802326">
            <w:pPr>
              <w:pStyle w:val="TableBodyText"/>
              <w:keepNext w:val="0"/>
              <w:keepLines w:val="0"/>
              <w:spacing w:before="60" w:after="60"/>
              <w:ind w:right="6"/>
              <w:jc w:val="left"/>
              <w:rPr>
                <w:b/>
              </w:rPr>
            </w:pPr>
            <w:r w:rsidRPr="002576C5">
              <w:rPr>
                <w:b/>
              </w:rPr>
              <w:t>Completeness</w:t>
            </w:r>
          </w:p>
        </w:tc>
        <w:tc>
          <w:tcPr>
            <w:tcW w:w="6379" w:type="dxa"/>
          </w:tcPr>
          <w:p w14:paraId="005B3006" w14:textId="3649DB13" w:rsidR="00E12DE5" w:rsidRDefault="00E12DE5" w:rsidP="00802326">
            <w:pPr>
              <w:pStyle w:val="TableBullet"/>
              <w:keepNext w:val="0"/>
              <w:keepLines w:val="0"/>
              <w:numPr>
                <w:ilvl w:val="0"/>
                <w:numId w:val="0"/>
              </w:numPr>
              <w:spacing w:before="60" w:after="60"/>
              <w:ind w:left="6" w:right="6"/>
              <w:jc w:val="both"/>
            </w:pPr>
            <w:r w:rsidRPr="002576C5">
              <w:t>Data are considered complete if all required data are available for all jurisdictions that provide the service.</w:t>
            </w:r>
          </w:p>
        </w:tc>
      </w:tr>
      <w:tr w:rsidR="00E12DE5" w:rsidRPr="002576C5" w14:paraId="5ABCE1F3" w14:textId="77777777" w:rsidTr="00E12DE5">
        <w:tc>
          <w:tcPr>
            <w:tcW w:w="2410" w:type="dxa"/>
          </w:tcPr>
          <w:p w14:paraId="7E05371B" w14:textId="78746D15" w:rsidR="00E12DE5" w:rsidRDefault="00E12DE5" w:rsidP="00802326">
            <w:pPr>
              <w:pStyle w:val="TableBodyText"/>
              <w:keepNext w:val="0"/>
              <w:keepLines w:val="0"/>
              <w:spacing w:before="60" w:after="60"/>
              <w:ind w:right="6"/>
              <w:jc w:val="left"/>
              <w:rPr>
                <w:b/>
              </w:rPr>
            </w:pPr>
            <w:r w:rsidRPr="002576C5">
              <w:rPr>
                <w:b/>
              </w:rPr>
              <w:t xml:space="preserve">Confidence intervals </w:t>
            </w:r>
          </w:p>
        </w:tc>
        <w:tc>
          <w:tcPr>
            <w:tcW w:w="6379" w:type="dxa"/>
          </w:tcPr>
          <w:p w14:paraId="5DA465E7" w14:textId="4A6639E0" w:rsidR="00E12DE5" w:rsidRDefault="00E12DE5" w:rsidP="00802326">
            <w:pPr>
              <w:pStyle w:val="TableBullet"/>
              <w:keepNext w:val="0"/>
              <w:keepLines w:val="0"/>
              <w:numPr>
                <w:ilvl w:val="0"/>
                <w:numId w:val="0"/>
              </w:numPr>
              <w:spacing w:before="60" w:after="60"/>
              <w:ind w:left="6" w:right="6"/>
              <w:jc w:val="both"/>
            </w:pPr>
            <w:r w:rsidRPr="002576C5">
              <w:t>Survey data, for example data from the NSHS, are subject to sampling error because they are based on samples of the total population. Where survey data are shown in charts in this report, error bars are included, showing 95 per cent confidence intervals. There is a 95 per cent chance that the true value of the data item lies within the interval shown by the error bars.</w:t>
            </w:r>
          </w:p>
        </w:tc>
      </w:tr>
      <w:tr w:rsidR="00E12DE5" w:rsidRPr="002576C5" w14:paraId="395755B4" w14:textId="77777777" w:rsidTr="00E12DE5">
        <w:tc>
          <w:tcPr>
            <w:tcW w:w="2410" w:type="dxa"/>
          </w:tcPr>
          <w:p w14:paraId="4CB6F00A" w14:textId="2589B5D7" w:rsidR="00E12DE5" w:rsidRDefault="00E12DE5" w:rsidP="00802326">
            <w:pPr>
              <w:pStyle w:val="TableBodyText"/>
              <w:keepNext w:val="0"/>
              <w:keepLines w:val="0"/>
              <w:spacing w:before="60" w:after="60"/>
              <w:ind w:right="6"/>
              <w:jc w:val="left"/>
              <w:rPr>
                <w:b/>
              </w:rPr>
            </w:pPr>
            <w:r w:rsidRPr="002576C5">
              <w:rPr>
                <w:b/>
              </w:rPr>
              <w:t>Depreciation costs</w:t>
            </w:r>
          </w:p>
        </w:tc>
        <w:tc>
          <w:tcPr>
            <w:tcW w:w="6379" w:type="dxa"/>
          </w:tcPr>
          <w:p w14:paraId="47CD3F9B" w14:textId="4EC71546" w:rsidR="00E12DE5" w:rsidRDefault="00E12DE5" w:rsidP="00802326">
            <w:pPr>
              <w:pStyle w:val="TableBullet"/>
              <w:keepNext w:val="0"/>
              <w:keepLines w:val="0"/>
              <w:numPr>
                <w:ilvl w:val="0"/>
                <w:numId w:val="0"/>
              </w:numPr>
              <w:spacing w:before="60" w:after="60"/>
              <w:ind w:left="6" w:right="6"/>
              <w:jc w:val="both"/>
            </w:pPr>
            <w:r w:rsidRPr="002576C5">
              <w:rPr>
                <w:snapToGrid w:val="0"/>
                <w:lang w:val="en-US"/>
              </w:rPr>
              <w:t>Depreciation calculated on a straight–line basis at a rate that realistically represents the useful life of the asset (as per the Australian Accounting Standards 13–17).</w:t>
            </w:r>
          </w:p>
        </w:tc>
      </w:tr>
      <w:tr w:rsidR="00E12DE5" w:rsidRPr="002576C5" w14:paraId="6DEB1B2D" w14:textId="77777777" w:rsidTr="00E12DE5">
        <w:tc>
          <w:tcPr>
            <w:tcW w:w="2410" w:type="dxa"/>
          </w:tcPr>
          <w:p w14:paraId="6E013A3C" w14:textId="2F11D2A5" w:rsidR="00E12DE5" w:rsidRDefault="00E12DE5" w:rsidP="00802326">
            <w:pPr>
              <w:pStyle w:val="TableBodyText"/>
              <w:keepNext w:val="0"/>
              <w:keepLines w:val="0"/>
              <w:spacing w:before="60" w:after="60"/>
              <w:ind w:right="6"/>
              <w:jc w:val="left"/>
              <w:rPr>
                <w:b/>
              </w:rPr>
            </w:pPr>
            <w:r w:rsidRPr="002576C5">
              <w:rPr>
                <w:b/>
                <w:snapToGrid w:val="0"/>
              </w:rPr>
              <w:t>Disability</w:t>
            </w:r>
          </w:p>
        </w:tc>
        <w:tc>
          <w:tcPr>
            <w:tcW w:w="6379" w:type="dxa"/>
          </w:tcPr>
          <w:p w14:paraId="3853FB0F" w14:textId="46880289" w:rsidR="00E12DE5" w:rsidRDefault="00E12DE5" w:rsidP="00802326">
            <w:pPr>
              <w:pStyle w:val="TableBullet"/>
              <w:keepNext w:val="0"/>
              <w:keepLines w:val="0"/>
              <w:numPr>
                <w:ilvl w:val="0"/>
                <w:numId w:val="0"/>
              </w:numPr>
              <w:spacing w:before="60" w:after="60"/>
              <w:ind w:left="6" w:right="6"/>
              <w:jc w:val="both"/>
            </w:pPr>
            <w:r w:rsidRPr="002576C5">
              <w:rPr>
                <w:snapToGrid w:val="0"/>
              </w:rPr>
              <w:t>Households with a member with disability are defined as households in which at least one member always or sometimes needs assistance with self</w:t>
            </w:r>
            <w:r>
              <w:rPr>
                <w:snapToGrid w:val="0"/>
              </w:rPr>
              <w:noBreakHyphen/>
            </w:r>
            <w:r w:rsidRPr="002576C5">
              <w:rPr>
                <w:snapToGrid w:val="0"/>
              </w:rPr>
              <w:t>care activities, body movement activities or communication, and the reason for needing assistance is either ‘long</w:t>
            </w:r>
            <w:r w:rsidRPr="002576C5">
              <w:rPr>
                <w:snapToGrid w:val="0"/>
              </w:rPr>
              <w:noBreakHyphen/>
              <w:t>term health condition lasting six months or more’ or ‘disability’.</w:t>
            </w:r>
          </w:p>
        </w:tc>
      </w:tr>
      <w:tr w:rsidR="00E12DE5" w:rsidRPr="002576C5" w14:paraId="2BC6AC8D" w14:textId="77777777" w:rsidTr="00E12DE5">
        <w:tc>
          <w:tcPr>
            <w:tcW w:w="2410" w:type="dxa"/>
          </w:tcPr>
          <w:p w14:paraId="410E129D" w14:textId="59CAE01A" w:rsidR="00E12DE5" w:rsidRDefault="00E12DE5" w:rsidP="00802326">
            <w:pPr>
              <w:pStyle w:val="TableBodyText"/>
              <w:keepNext w:val="0"/>
              <w:keepLines w:val="0"/>
              <w:spacing w:before="60" w:after="60"/>
              <w:ind w:right="6"/>
              <w:jc w:val="left"/>
              <w:rPr>
                <w:b/>
              </w:rPr>
            </w:pPr>
            <w:r w:rsidRPr="002576C5">
              <w:br w:type="page"/>
            </w:r>
            <w:r w:rsidRPr="002576C5">
              <w:rPr>
                <w:rFonts w:ascii="Times New Roman" w:hAnsi="Times New Roman"/>
              </w:rPr>
              <w:br w:type="page"/>
            </w:r>
            <w:r w:rsidRPr="002576C5">
              <w:rPr>
                <w:b/>
              </w:rPr>
              <w:t>Dwelling</w:t>
            </w:r>
          </w:p>
        </w:tc>
        <w:tc>
          <w:tcPr>
            <w:tcW w:w="6379" w:type="dxa"/>
          </w:tcPr>
          <w:p w14:paraId="6AD60F05" w14:textId="77777777" w:rsidR="00E12DE5" w:rsidRPr="002576C5" w:rsidRDefault="00E12DE5" w:rsidP="00802326">
            <w:pPr>
              <w:pStyle w:val="TableBodyText"/>
              <w:keepNext w:val="0"/>
              <w:keepLines w:val="0"/>
              <w:spacing w:before="60" w:after="60"/>
              <w:ind w:right="6"/>
              <w:jc w:val="left"/>
            </w:pPr>
            <w:r w:rsidRPr="002576C5">
              <w:t>A structure or a discrete space within a structure intended for people to live in or where a person or group of people live. Thus, a structure that people actually live in is a dwelling regardless of its intended purpose, but a vacant structure is a dwelling only if intended for human residence. A dwelling may include one or more rooms that is/are used as an office or workshop, provided the dwelling is in residential use. Dwelling types include:</w:t>
            </w:r>
          </w:p>
          <w:p w14:paraId="310B1712" w14:textId="77777777" w:rsidR="00E12DE5" w:rsidRPr="006F2985" w:rsidRDefault="00E12DE5" w:rsidP="006F2985">
            <w:pPr>
              <w:pStyle w:val="TableBullet"/>
            </w:pPr>
            <w:r w:rsidRPr="006F2985">
              <w:t>a separate house</w:t>
            </w:r>
          </w:p>
          <w:p w14:paraId="1180E8E1" w14:textId="77777777" w:rsidR="00E12DE5" w:rsidRPr="006F2985" w:rsidRDefault="00E12DE5" w:rsidP="006F2985">
            <w:pPr>
              <w:pStyle w:val="TableBullet"/>
            </w:pPr>
            <w:r w:rsidRPr="006F2985">
              <w:t>a semi–detached, row or terrace house, townhouse, etc.</w:t>
            </w:r>
          </w:p>
          <w:p w14:paraId="1972C354" w14:textId="77777777" w:rsidR="00E12DE5" w:rsidRPr="006F2985" w:rsidRDefault="00E12DE5" w:rsidP="006F2985">
            <w:pPr>
              <w:pStyle w:val="TableBullet"/>
            </w:pPr>
            <w:r w:rsidRPr="006F2985">
              <w:t>a flat, unit or apartment; caravan, tent, cabin etc. either in or not in a caravan park; houseboat in marina, etc.</w:t>
            </w:r>
          </w:p>
          <w:p w14:paraId="62BC1AD8" w14:textId="77777777" w:rsidR="00E12DE5" w:rsidRPr="006F2985" w:rsidRDefault="00E12DE5" w:rsidP="006F2985">
            <w:pPr>
              <w:pStyle w:val="TableBullet"/>
            </w:pPr>
            <w:r w:rsidRPr="006F2985">
              <w:t>an improvised home, tent, camper</w:t>
            </w:r>
          </w:p>
          <w:p w14:paraId="655ECC8C" w14:textId="77777777" w:rsidR="00E12DE5" w:rsidRPr="006F2985" w:rsidRDefault="00E12DE5" w:rsidP="006F2985">
            <w:pPr>
              <w:pStyle w:val="TableBullet"/>
            </w:pPr>
            <w:r w:rsidRPr="006F2985">
              <w:t>a house or flat attached to a shop, office, etc.</w:t>
            </w:r>
          </w:p>
          <w:p w14:paraId="2AF98288" w14:textId="00DA0F46" w:rsidR="00E12DE5" w:rsidRDefault="00E12DE5" w:rsidP="006F2985">
            <w:pPr>
              <w:pStyle w:val="TableBullet"/>
            </w:pPr>
            <w:r w:rsidRPr="006F2985">
              <w:t>a boarding/rooming house unit.</w:t>
            </w:r>
          </w:p>
        </w:tc>
      </w:tr>
      <w:tr w:rsidR="00E12DE5" w:rsidRPr="002576C5" w14:paraId="2E27E1C6" w14:textId="77777777" w:rsidTr="00E12DE5">
        <w:tc>
          <w:tcPr>
            <w:tcW w:w="2410" w:type="dxa"/>
          </w:tcPr>
          <w:p w14:paraId="4354810A" w14:textId="57042F51" w:rsidR="00E12DE5" w:rsidRDefault="00E12DE5" w:rsidP="00802326">
            <w:pPr>
              <w:pStyle w:val="TableBodyText"/>
              <w:keepNext w:val="0"/>
              <w:keepLines w:val="0"/>
              <w:spacing w:before="60" w:after="60"/>
              <w:ind w:right="6"/>
              <w:jc w:val="left"/>
              <w:rPr>
                <w:b/>
              </w:rPr>
            </w:pPr>
            <w:r w:rsidRPr="002576C5">
              <w:rPr>
                <w:b/>
              </w:rPr>
              <w:t>Equivalisation</w:t>
            </w:r>
          </w:p>
        </w:tc>
        <w:tc>
          <w:tcPr>
            <w:tcW w:w="6379" w:type="dxa"/>
          </w:tcPr>
          <w:p w14:paraId="5555E8DC" w14:textId="2D2F9104" w:rsidR="00E12DE5" w:rsidRDefault="00E12DE5" w:rsidP="006E3DA8">
            <w:pPr>
              <w:pStyle w:val="TableBullet"/>
              <w:keepNext w:val="0"/>
              <w:keepLines w:val="0"/>
              <w:numPr>
                <w:ilvl w:val="0"/>
                <w:numId w:val="0"/>
              </w:numPr>
              <w:spacing w:before="60" w:after="60"/>
              <w:ind w:left="6" w:right="6"/>
              <w:jc w:val="both"/>
            </w:pPr>
            <w:r w:rsidRPr="009C72EB">
              <w:t>See low</w:t>
            </w:r>
            <w:r w:rsidR="006E3DA8">
              <w:noBreakHyphen/>
            </w:r>
            <w:r w:rsidRPr="009C72EB">
              <w:t>income households entry.</w:t>
            </w:r>
          </w:p>
        </w:tc>
      </w:tr>
      <w:tr w:rsidR="00E12DE5" w:rsidRPr="002576C5" w14:paraId="636CF2C5" w14:textId="77777777" w:rsidTr="000549CB">
        <w:tc>
          <w:tcPr>
            <w:tcW w:w="2410" w:type="dxa"/>
          </w:tcPr>
          <w:p w14:paraId="0E2A8844" w14:textId="32E937EB" w:rsidR="00703D68" w:rsidRPr="00703D68" w:rsidRDefault="00E12DE5" w:rsidP="008776BB">
            <w:pPr>
              <w:pStyle w:val="TableBodyText"/>
              <w:keepNext w:val="0"/>
              <w:keepLines w:val="0"/>
              <w:spacing w:before="60" w:after="60"/>
              <w:ind w:right="6"/>
              <w:jc w:val="left"/>
              <w:rPr>
                <w:b/>
                <w:color w:val="00B050"/>
              </w:rPr>
            </w:pPr>
            <w:r w:rsidRPr="002576C5">
              <w:rPr>
                <w:b/>
              </w:rPr>
              <w:t>Greatest need</w:t>
            </w:r>
          </w:p>
        </w:tc>
        <w:tc>
          <w:tcPr>
            <w:tcW w:w="6379" w:type="dxa"/>
            <w:shd w:val="clear" w:color="auto" w:fill="auto"/>
          </w:tcPr>
          <w:p w14:paraId="3C6C73CF" w14:textId="70E3B968" w:rsidR="00E12DE5" w:rsidRPr="002576C5" w:rsidRDefault="00E12DE5" w:rsidP="00802326">
            <w:pPr>
              <w:pStyle w:val="TableBodyText"/>
              <w:keepNext w:val="0"/>
              <w:keepLines w:val="0"/>
              <w:spacing w:before="60" w:after="60"/>
              <w:ind w:right="6"/>
              <w:jc w:val="left"/>
            </w:pPr>
            <w:r>
              <w:t xml:space="preserve">Applies to </w:t>
            </w:r>
            <w:r w:rsidRPr="002576C5">
              <w:t>households if, at the time of allocation, household members were subject to one or more of the following circumstances:</w:t>
            </w:r>
          </w:p>
          <w:p w14:paraId="27A3A54A" w14:textId="4F57236D" w:rsidR="00E12DE5" w:rsidRPr="006F2985" w:rsidRDefault="00E12DE5" w:rsidP="006F2985">
            <w:pPr>
              <w:pStyle w:val="TableBullet"/>
            </w:pPr>
            <w:r w:rsidRPr="006F2985">
              <w:t>they were homeless</w:t>
            </w:r>
            <w:r w:rsidR="000F68A7" w:rsidRPr="000F68A7">
              <w:rPr>
                <w:vertAlign w:val="superscript"/>
              </w:rPr>
              <w:t>a</w:t>
            </w:r>
          </w:p>
          <w:p w14:paraId="4C08E099" w14:textId="77777777" w:rsidR="00E12DE5" w:rsidRPr="006F2985" w:rsidRDefault="00E12DE5" w:rsidP="006F2985">
            <w:pPr>
              <w:pStyle w:val="TableBullet"/>
            </w:pPr>
            <w:r w:rsidRPr="006F2985">
              <w:t>their life or safety was at risk in their accommodation</w:t>
            </w:r>
          </w:p>
          <w:p w14:paraId="0B9D29D3" w14:textId="77777777" w:rsidR="00E12DE5" w:rsidRPr="006F2985" w:rsidRDefault="00E12DE5" w:rsidP="006F2985">
            <w:pPr>
              <w:pStyle w:val="TableBullet"/>
            </w:pPr>
            <w:r w:rsidRPr="006F2985">
              <w:t>their health condition was aggravated by their housing</w:t>
            </w:r>
          </w:p>
          <w:p w14:paraId="275A27C5" w14:textId="77777777" w:rsidR="00E12DE5" w:rsidRPr="006F2985" w:rsidRDefault="00E12DE5" w:rsidP="006F2985">
            <w:pPr>
              <w:pStyle w:val="TableBullet"/>
            </w:pPr>
            <w:r w:rsidRPr="006F2985">
              <w:t>their housing was inappropriate to their needs</w:t>
            </w:r>
          </w:p>
          <w:p w14:paraId="48B4792C" w14:textId="77777777" w:rsidR="00E12DE5" w:rsidRPr="006F2985" w:rsidRDefault="00E12DE5" w:rsidP="006F2985">
            <w:pPr>
              <w:pStyle w:val="TableBullet"/>
            </w:pPr>
            <w:r w:rsidRPr="006F2985">
              <w:t>they had very high rental housing costs.</w:t>
            </w:r>
          </w:p>
          <w:p w14:paraId="5CF6F460" w14:textId="1CE13F32" w:rsidR="00E12DE5" w:rsidRDefault="00E12DE5" w:rsidP="00802326">
            <w:pPr>
              <w:pStyle w:val="TableBullet"/>
              <w:keepNext w:val="0"/>
              <w:keepLines w:val="0"/>
              <w:numPr>
                <w:ilvl w:val="0"/>
                <w:numId w:val="0"/>
              </w:numPr>
              <w:spacing w:before="60" w:after="60"/>
              <w:ind w:left="6" w:right="6"/>
              <w:jc w:val="both"/>
            </w:pPr>
          </w:p>
          <w:p w14:paraId="1D68951A" w14:textId="77777777" w:rsidR="000F68A7" w:rsidRDefault="000F68A7" w:rsidP="00802326">
            <w:pPr>
              <w:pStyle w:val="TableBullet"/>
              <w:keepNext w:val="0"/>
              <w:keepLines w:val="0"/>
              <w:numPr>
                <w:ilvl w:val="0"/>
                <w:numId w:val="0"/>
              </w:numPr>
              <w:spacing w:before="60" w:after="60"/>
              <w:ind w:left="6" w:right="6"/>
              <w:jc w:val="both"/>
            </w:pPr>
            <w:r w:rsidRPr="000F68A7">
              <w:rPr>
                <w:vertAlign w:val="superscript"/>
              </w:rPr>
              <w:lastRenderedPageBreak/>
              <w:t>a</w:t>
            </w:r>
            <w:r>
              <w:rPr>
                <w:vertAlign w:val="superscript"/>
              </w:rPr>
              <w:t xml:space="preserve"> </w:t>
            </w:r>
            <w:r w:rsidRPr="000F68A7">
              <w:t>A homeless household for the greatest need definition is a household with no housing or a household residing in temporary or emergency accommodation. It includes households who:</w:t>
            </w:r>
          </w:p>
          <w:p w14:paraId="3AC8A4CF" w14:textId="77777777" w:rsidR="000F68A7" w:rsidRPr="000F68A7" w:rsidRDefault="000F68A7" w:rsidP="000F68A7">
            <w:pPr>
              <w:pStyle w:val="TableBullet"/>
            </w:pPr>
            <w:r w:rsidRPr="000F68A7">
              <w:t>lived in accommodation provided by a specialist homelessness service agency or some other form of emergency accommodation;</w:t>
            </w:r>
          </w:p>
          <w:p w14:paraId="4BC984C0" w14:textId="3886616C" w:rsidR="000F68A7" w:rsidRPr="000F68A7" w:rsidRDefault="000F68A7" w:rsidP="000F68A7">
            <w:pPr>
              <w:pStyle w:val="TableBullet"/>
            </w:pPr>
            <w:r w:rsidRPr="000F68A7">
              <w:t>were total</w:t>
            </w:r>
            <w:r w:rsidR="00252D80">
              <w:t>ly</w:t>
            </w:r>
            <w:r w:rsidRPr="000F68A7">
              <w:t xml:space="preserve"> without permanent shelter</w:t>
            </w:r>
          </w:p>
          <w:p w14:paraId="04AEB811" w14:textId="77777777" w:rsidR="000F68A7" w:rsidRPr="000F68A7" w:rsidRDefault="000F68A7" w:rsidP="000F68A7">
            <w:pPr>
              <w:pStyle w:val="TableBullet"/>
            </w:pPr>
            <w:r w:rsidRPr="000F68A7">
              <w:t>lived in shelter that was unlawful such as those who were forced to squat in derelict buildings</w:t>
            </w:r>
          </w:p>
          <w:p w14:paraId="4ED1E584" w14:textId="6B4CBF98" w:rsidR="000F68A7" w:rsidRDefault="000F68A7" w:rsidP="000F68A7">
            <w:pPr>
              <w:pStyle w:val="TableBullet"/>
            </w:pPr>
            <w:r w:rsidRPr="000F68A7">
              <w:t>stayed temporarily with friends or relatives in the short term</w:t>
            </w:r>
            <w:r w:rsidR="00CB6174">
              <w:t>.</w:t>
            </w:r>
          </w:p>
        </w:tc>
      </w:tr>
      <w:tr w:rsidR="00E12DE5" w:rsidRPr="002576C5" w14:paraId="42F705A3" w14:textId="77777777" w:rsidTr="00E12DE5">
        <w:tc>
          <w:tcPr>
            <w:tcW w:w="2410" w:type="dxa"/>
          </w:tcPr>
          <w:p w14:paraId="267D86CB" w14:textId="77777777" w:rsidR="00E12DE5" w:rsidRDefault="00E12DE5" w:rsidP="00802326">
            <w:pPr>
              <w:pStyle w:val="TableBodyText"/>
              <w:keepNext w:val="0"/>
              <w:keepLines w:val="0"/>
              <w:spacing w:before="60" w:after="60"/>
              <w:ind w:right="6"/>
              <w:jc w:val="left"/>
              <w:rPr>
                <w:b/>
              </w:rPr>
            </w:pPr>
            <w:r w:rsidRPr="002576C5">
              <w:rPr>
                <w:b/>
              </w:rPr>
              <w:lastRenderedPageBreak/>
              <w:t>Household</w:t>
            </w:r>
          </w:p>
          <w:p w14:paraId="38A8EB6B" w14:textId="77777777" w:rsidR="00E12DE5" w:rsidRDefault="00E12DE5" w:rsidP="00802326">
            <w:pPr>
              <w:pStyle w:val="TableBodyText"/>
              <w:keepNext w:val="0"/>
              <w:keepLines w:val="0"/>
              <w:spacing w:before="60" w:after="60"/>
              <w:ind w:right="6"/>
              <w:jc w:val="left"/>
              <w:rPr>
                <w:b/>
              </w:rPr>
            </w:pPr>
          </w:p>
          <w:p w14:paraId="435C4143" w14:textId="77777777" w:rsidR="00E12DE5" w:rsidRDefault="00E12DE5" w:rsidP="00802326">
            <w:pPr>
              <w:pStyle w:val="TableBodyText"/>
              <w:keepNext w:val="0"/>
              <w:keepLines w:val="0"/>
              <w:spacing w:before="60" w:after="60"/>
              <w:ind w:right="6"/>
              <w:jc w:val="left"/>
              <w:rPr>
                <w:b/>
              </w:rPr>
            </w:pPr>
          </w:p>
          <w:p w14:paraId="45407591" w14:textId="77777777" w:rsidR="00E12DE5" w:rsidRDefault="00E12DE5" w:rsidP="00802326">
            <w:pPr>
              <w:pStyle w:val="TableBodyText"/>
              <w:keepNext w:val="0"/>
              <w:keepLines w:val="0"/>
              <w:spacing w:before="60" w:after="60"/>
              <w:ind w:right="6"/>
              <w:jc w:val="left"/>
              <w:rPr>
                <w:b/>
              </w:rPr>
            </w:pPr>
          </w:p>
          <w:p w14:paraId="54EB076D" w14:textId="77777777" w:rsidR="00E12DE5" w:rsidRDefault="00E12DE5" w:rsidP="00802326">
            <w:pPr>
              <w:pStyle w:val="TableBodyText"/>
              <w:keepNext w:val="0"/>
              <w:keepLines w:val="0"/>
              <w:spacing w:before="60" w:after="60"/>
              <w:ind w:right="6"/>
              <w:jc w:val="left"/>
              <w:rPr>
                <w:b/>
              </w:rPr>
            </w:pPr>
          </w:p>
          <w:p w14:paraId="54D0007A" w14:textId="77777777" w:rsidR="00E12DE5" w:rsidRDefault="00E12DE5" w:rsidP="00802326">
            <w:pPr>
              <w:pStyle w:val="TableBodyText"/>
              <w:keepNext w:val="0"/>
              <w:keepLines w:val="0"/>
              <w:spacing w:before="60" w:after="60"/>
              <w:ind w:right="6"/>
              <w:jc w:val="left"/>
              <w:rPr>
                <w:b/>
              </w:rPr>
            </w:pPr>
          </w:p>
        </w:tc>
        <w:tc>
          <w:tcPr>
            <w:tcW w:w="6379" w:type="dxa"/>
          </w:tcPr>
          <w:p w14:paraId="6E18DDAD" w14:textId="77777777" w:rsidR="00E12DE5" w:rsidRPr="002576C5" w:rsidRDefault="00E12DE5" w:rsidP="00802326">
            <w:pPr>
              <w:pStyle w:val="TableBodyText"/>
              <w:keepNext w:val="0"/>
              <w:keepLines w:val="0"/>
              <w:spacing w:before="60" w:after="60"/>
              <w:ind w:right="6"/>
              <w:jc w:val="left"/>
            </w:pPr>
            <w:r w:rsidRPr="002576C5">
              <w:t xml:space="preserve">The grouping of people living in a dwelling. Household composition is based on couple and parent–child relationships. A </w:t>
            </w:r>
            <w:r w:rsidRPr="002576C5">
              <w:rPr>
                <w:i/>
                <w:iCs/>
              </w:rPr>
              <w:t>single</w:t>
            </w:r>
            <w:r>
              <w:rPr>
                <w:i/>
                <w:iCs/>
              </w:rPr>
              <w:noBreakHyphen/>
            </w:r>
            <w:r w:rsidRPr="002576C5">
              <w:rPr>
                <w:i/>
                <w:iCs/>
              </w:rPr>
              <w:t xml:space="preserve">family </w:t>
            </w:r>
            <w:r w:rsidRPr="002576C5">
              <w:t xml:space="preserve">household contains a main tenant only, or a main tenant residing with a partner and/or the main tenant’s children. </w:t>
            </w:r>
            <w:r w:rsidRPr="002576C5">
              <w:rPr>
                <w:i/>
                <w:iCs/>
              </w:rPr>
              <w:t xml:space="preserve">Group households </w:t>
            </w:r>
            <w:r w:rsidRPr="002576C5">
              <w:t xml:space="preserve">consist of 2 or more tenants aged 16 or over who are not in a couple or parent–child relationship. </w:t>
            </w:r>
            <w:r w:rsidRPr="002576C5">
              <w:rPr>
                <w:i/>
                <w:iCs/>
              </w:rPr>
              <w:t xml:space="preserve">Mixed households </w:t>
            </w:r>
            <w:r w:rsidRPr="002576C5">
              <w:t>are households not described by the other two types</w:t>
            </w:r>
            <w:r>
              <w:t xml:space="preserve"> </w:t>
            </w:r>
            <w:r w:rsidRPr="002576C5">
              <w:t>—</w:t>
            </w:r>
            <w:r>
              <w:t xml:space="preserve"> </w:t>
            </w:r>
            <w:r w:rsidRPr="002576C5">
              <w:t>for example, multiple single</w:t>
            </w:r>
            <w:r>
              <w:noBreakHyphen/>
            </w:r>
            <w:r w:rsidRPr="002576C5">
              <w:t>family households.</w:t>
            </w:r>
          </w:p>
          <w:p w14:paraId="04110D2B" w14:textId="4AFD20FF" w:rsidR="00E12DE5" w:rsidRDefault="00E12DE5" w:rsidP="00802326">
            <w:pPr>
              <w:pStyle w:val="TableBullet"/>
              <w:keepNext w:val="0"/>
              <w:keepLines w:val="0"/>
              <w:numPr>
                <w:ilvl w:val="0"/>
                <w:numId w:val="0"/>
              </w:numPr>
              <w:spacing w:before="60" w:after="60"/>
              <w:ind w:left="6" w:right="6"/>
              <w:jc w:val="both"/>
            </w:pPr>
            <w:r w:rsidRPr="00706AF3">
              <w:t>For the purpose of the community housing collection, the number of tenancy agreements is the proxy for counting the number of households. A tenancy agreement is defined as a formal written agreement between a household (a person or group of people) and a housing provider, specifying details of a tenancy for a particular dwelling.</w:t>
            </w:r>
          </w:p>
        </w:tc>
      </w:tr>
      <w:tr w:rsidR="00E12DE5" w:rsidRPr="002576C5" w14:paraId="33EB439B" w14:textId="77777777" w:rsidTr="00E12DE5">
        <w:tc>
          <w:tcPr>
            <w:tcW w:w="2410" w:type="dxa"/>
          </w:tcPr>
          <w:p w14:paraId="3FC08266" w14:textId="3322898F" w:rsidR="00E12DE5" w:rsidRDefault="00E12DE5" w:rsidP="006E3DA8">
            <w:pPr>
              <w:pStyle w:val="TableBodyText"/>
              <w:keepNext w:val="0"/>
              <w:keepLines w:val="0"/>
              <w:spacing w:before="60" w:after="60"/>
              <w:ind w:right="6"/>
              <w:jc w:val="left"/>
              <w:rPr>
                <w:b/>
              </w:rPr>
            </w:pPr>
            <w:r w:rsidRPr="00B12A3B">
              <w:rPr>
                <w:b/>
              </w:rPr>
              <w:t>Low</w:t>
            </w:r>
            <w:r w:rsidR="006E3DA8">
              <w:rPr>
                <w:b/>
              </w:rPr>
              <w:noBreakHyphen/>
            </w:r>
            <w:r w:rsidRPr="00B12A3B">
              <w:rPr>
                <w:b/>
              </w:rPr>
              <w:t>income households</w:t>
            </w:r>
          </w:p>
        </w:tc>
        <w:tc>
          <w:tcPr>
            <w:tcW w:w="6379" w:type="dxa"/>
          </w:tcPr>
          <w:p w14:paraId="6BE7A6E2" w14:textId="324EC7A2" w:rsidR="00E12DE5" w:rsidRPr="00B12A3B" w:rsidRDefault="00E12DE5" w:rsidP="00802326">
            <w:pPr>
              <w:pStyle w:val="TableBodyText"/>
              <w:keepNext w:val="0"/>
              <w:keepLines w:val="0"/>
              <w:spacing w:before="60" w:after="60"/>
              <w:ind w:right="6"/>
              <w:jc w:val="left"/>
            </w:pPr>
            <w:r w:rsidRPr="00B12A3B">
              <w:t>For the purpose of social housing affordability analyses, ‘</w:t>
            </w:r>
            <w:r w:rsidR="00CC2C7D" w:rsidRPr="00B12A3B">
              <w:t>low</w:t>
            </w:r>
            <w:r w:rsidR="00CC2C7D">
              <w:noBreakHyphen/>
            </w:r>
            <w:r w:rsidR="00CC2C7D" w:rsidRPr="00B12A3B">
              <w:t>income</w:t>
            </w:r>
            <w:r w:rsidRPr="00B12A3B">
              <w:t xml:space="preserve"> households’ are defined as those in the bottom 40 per cent of equivalised gross household income. (Different definitions of low</w:t>
            </w:r>
            <w:r w:rsidR="006E3DA8">
              <w:noBreakHyphen/>
            </w:r>
            <w:r w:rsidRPr="00B12A3B">
              <w:t>income households are used for different p</w:t>
            </w:r>
            <w:r>
              <w:t>urposes by the ABS and others.)</w:t>
            </w:r>
          </w:p>
          <w:p w14:paraId="30FA1A8C" w14:textId="77777777" w:rsidR="00E12DE5" w:rsidRPr="00B12A3B" w:rsidRDefault="00E12DE5" w:rsidP="00802326">
            <w:pPr>
              <w:pStyle w:val="TableBodyText"/>
              <w:keepNext w:val="0"/>
              <w:keepLines w:val="0"/>
              <w:spacing w:before="60" w:after="60"/>
              <w:ind w:right="6"/>
              <w:jc w:val="both"/>
              <w:rPr>
                <w:u w:val="single"/>
              </w:rPr>
            </w:pPr>
            <w:r>
              <w:rPr>
                <w:u w:val="single"/>
              </w:rPr>
              <w:t>Equivalisation</w:t>
            </w:r>
          </w:p>
          <w:p w14:paraId="05D93CD0" w14:textId="77777777" w:rsidR="00E12DE5" w:rsidRPr="00B12A3B" w:rsidRDefault="00E12DE5" w:rsidP="00802326">
            <w:pPr>
              <w:pStyle w:val="TableBodyText"/>
              <w:keepNext w:val="0"/>
              <w:keepLines w:val="0"/>
              <w:spacing w:before="60" w:after="60"/>
              <w:ind w:right="6"/>
              <w:jc w:val="both"/>
            </w:pPr>
            <w:r w:rsidRPr="00B12A3B">
              <w:t>Increased household size is associated with increased consumption needs, but also with economies of scale. An equivalence scale is used to adjust household incomes to take account of the economies that flow from sharing resources, enabling more meaningful comparisons across different types of households.</w:t>
            </w:r>
          </w:p>
          <w:p w14:paraId="79FEA3C4" w14:textId="0A3FB522" w:rsidR="00E12DE5" w:rsidRPr="00B12A3B" w:rsidRDefault="00E12DE5" w:rsidP="00802326">
            <w:pPr>
              <w:pStyle w:val="TableBodyText"/>
              <w:keepNext w:val="0"/>
              <w:keepLines w:val="0"/>
              <w:spacing w:before="60" w:after="60"/>
              <w:ind w:right="6"/>
              <w:jc w:val="both"/>
            </w:pPr>
            <w:r w:rsidRPr="00B12A3B">
              <w:t>The ABS provides low</w:t>
            </w:r>
            <w:r w:rsidR="005053AF">
              <w:noBreakHyphen/>
            </w:r>
            <w:r w:rsidRPr="00B12A3B">
              <w:t>income household equivalised gross income cutoffs</w:t>
            </w:r>
            <w:r>
              <w:t xml:space="preserve"> </w:t>
            </w:r>
            <w:r w:rsidRPr="00B12A3B">
              <w:t>derived from the biennial Su</w:t>
            </w:r>
            <w:r>
              <w:t>rvey of Income and Housing data</w:t>
            </w:r>
            <w:r w:rsidRPr="00B12A3B">
              <w:t xml:space="preserve"> to the AIHW. The AIHW determines the equivalised gross household income for social housing households for affordability analyses.</w:t>
            </w:r>
          </w:p>
          <w:p w14:paraId="448A8ABA" w14:textId="38DD9CDA" w:rsidR="00E12DE5" w:rsidRDefault="00E12DE5" w:rsidP="00802326">
            <w:pPr>
              <w:pStyle w:val="TableBullet"/>
              <w:keepNext w:val="0"/>
              <w:keepLines w:val="0"/>
              <w:numPr>
                <w:ilvl w:val="0"/>
                <w:numId w:val="0"/>
              </w:numPr>
              <w:spacing w:before="60" w:after="60"/>
              <w:ind w:left="6" w:right="6"/>
              <w:jc w:val="both"/>
            </w:pPr>
            <w:r w:rsidRPr="00B12A3B">
              <w:t>Note that equivalised gross household income is not used to determine eligibility for social housing or rental subsidies (see ‘assessable income’).</w:t>
            </w:r>
          </w:p>
        </w:tc>
      </w:tr>
      <w:tr w:rsidR="00E12DE5" w:rsidRPr="002576C5" w14:paraId="5FD6BD78" w14:textId="77777777" w:rsidTr="00E12DE5">
        <w:tc>
          <w:tcPr>
            <w:tcW w:w="2410" w:type="dxa"/>
          </w:tcPr>
          <w:p w14:paraId="4B7FC6CA" w14:textId="37112212" w:rsidR="00E12DE5" w:rsidRDefault="00E12DE5" w:rsidP="00802326">
            <w:pPr>
              <w:pStyle w:val="TableBodyText"/>
              <w:keepNext w:val="0"/>
              <w:keepLines w:val="0"/>
              <w:spacing w:before="60" w:after="60"/>
              <w:ind w:right="6"/>
              <w:jc w:val="left"/>
              <w:rPr>
                <w:b/>
              </w:rPr>
            </w:pPr>
            <w:r w:rsidRPr="002576C5">
              <w:rPr>
                <w:b/>
              </w:rPr>
              <w:t>Maintenance costs</w:t>
            </w:r>
          </w:p>
        </w:tc>
        <w:tc>
          <w:tcPr>
            <w:tcW w:w="6379" w:type="dxa"/>
          </w:tcPr>
          <w:p w14:paraId="13033CF3" w14:textId="28D71A68" w:rsidR="00E12DE5" w:rsidRDefault="00E12DE5" w:rsidP="00802326">
            <w:pPr>
              <w:pStyle w:val="TableBullet"/>
              <w:keepNext w:val="0"/>
              <w:keepLines w:val="0"/>
              <w:numPr>
                <w:ilvl w:val="0"/>
                <w:numId w:val="0"/>
              </w:numPr>
              <w:spacing w:before="60" w:after="60"/>
              <w:ind w:left="6" w:right="6"/>
              <w:jc w:val="both"/>
            </w:pPr>
            <w:r w:rsidRPr="002576C5">
              <w:t>Costs incurred to maintain the value of the asset or to restore an asset to its original condition. The definition includes day–to–day maintenance reflecting general wear and tear, cyclical maintenance, performed as part of a planned maintenance program and other maintenance, such as repairs as a result of vandalism.</w:t>
            </w:r>
          </w:p>
        </w:tc>
      </w:tr>
      <w:tr w:rsidR="00E12DE5" w:rsidRPr="002576C5" w14:paraId="79E3E0E8" w14:textId="77777777" w:rsidTr="00E12DE5">
        <w:tc>
          <w:tcPr>
            <w:tcW w:w="2410" w:type="dxa"/>
          </w:tcPr>
          <w:p w14:paraId="360DFE90" w14:textId="2754E10F" w:rsidR="00E12DE5" w:rsidRDefault="00E12DE5" w:rsidP="00802326">
            <w:pPr>
              <w:pStyle w:val="TableBodyText"/>
              <w:keepNext w:val="0"/>
              <w:keepLines w:val="0"/>
              <w:spacing w:before="60" w:after="60"/>
              <w:ind w:right="6"/>
              <w:jc w:val="left"/>
              <w:rPr>
                <w:b/>
              </w:rPr>
            </w:pPr>
            <w:r w:rsidRPr="002576C5">
              <w:rPr>
                <w:b/>
              </w:rPr>
              <w:t>Market rent</w:t>
            </w:r>
          </w:p>
        </w:tc>
        <w:tc>
          <w:tcPr>
            <w:tcW w:w="6379" w:type="dxa"/>
          </w:tcPr>
          <w:p w14:paraId="5BB23C72" w14:textId="5F1CDEFF" w:rsidR="00E12DE5" w:rsidRDefault="00E12DE5" w:rsidP="00802326">
            <w:pPr>
              <w:pStyle w:val="TableBullet"/>
              <w:keepNext w:val="0"/>
              <w:keepLines w:val="0"/>
              <w:numPr>
                <w:ilvl w:val="0"/>
                <w:numId w:val="0"/>
              </w:numPr>
              <w:spacing w:before="60" w:after="60"/>
              <w:ind w:left="6" w:right="6"/>
              <w:jc w:val="both"/>
            </w:pPr>
            <w:r>
              <w:t>R</w:t>
            </w:r>
            <w:r w:rsidRPr="002576C5">
              <w:t>ent that would be collected if the public rental housing properties were available in the private market.</w:t>
            </w:r>
          </w:p>
        </w:tc>
      </w:tr>
      <w:tr w:rsidR="00E12DE5" w:rsidRPr="002576C5" w14:paraId="339E1770" w14:textId="77777777" w:rsidTr="00E12DE5">
        <w:tc>
          <w:tcPr>
            <w:tcW w:w="2410" w:type="dxa"/>
          </w:tcPr>
          <w:p w14:paraId="5837A730" w14:textId="7E4AD217" w:rsidR="00E12DE5" w:rsidRDefault="00E12DE5" w:rsidP="00802326">
            <w:pPr>
              <w:pStyle w:val="TableBodyText"/>
              <w:keepNext w:val="0"/>
              <w:keepLines w:val="0"/>
              <w:spacing w:before="60" w:after="60"/>
              <w:ind w:right="6"/>
              <w:jc w:val="left"/>
              <w:rPr>
                <w:b/>
              </w:rPr>
            </w:pPr>
            <w:r>
              <w:rPr>
                <w:b/>
              </w:rPr>
              <w:t>Models of community housing</w:t>
            </w:r>
          </w:p>
        </w:tc>
        <w:tc>
          <w:tcPr>
            <w:tcW w:w="6379" w:type="dxa"/>
          </w:tcPr>
          <w:p w14:paraId="43DACE2D" w14:textId="7A5F0AF3" w:rsidR="00E12DE5" w:rsidRDefault="00E12DE5" w:rsidP="00A25E47">
            <w:pPr>
              <w:pStyle w:val="TableBullet"/>
              <w:keepNext w:val="0"/>
              <w:keepLines w:val="0"/>
              <w:numPr>
                <w:ilvl w:val="0"/>
                <w:numId w:val="0"/>
              </w:numPr>
              <w:spacing w:before="60" w:after="60"/>
              <w:ind w:left="6" w:right="6"/>
              <w:jc w:val="both"/>
            </w:pPr>
            <w:r>
              <w:t xml:space="preserve">Community housing models vary across jurisdictions in scale, organisational structure and financing arrangements, and the extent to which community organisations or government have management responsibility and ownership of the housing stock. </w:t>
            </w:r>
            <w:r w:rsidRPr="000549CB">
              <w:t>Table </w:t>
            </w:r>
            <w:r w:rsidR="00A25E47" w:rsidRPr="000549CB">
              <w:t>18.5</w:t>
            </w:r>
            <w:r>
              <w:t xml:space="preserve"> lists the in</w:t>
            </w:r>
            <w:r>
              <w:noBreakHyphen/>
              <w:t>scope community housing programs in each jurisdiction.</w:t>
            </w:r>
          </w:p>
        </w:tc>
      </w:tr>
      <w:tr w:rsidR="00E12DE5" w:rsidRPr="002576C5" w14:paraId="4C3DCCB2" w14:textId="77777777" w:rsidTr="00E12DE5">
        <w:tc>
          <w:tcPr>
            <w:tcW w:w="2410" w:type="dxa"/>
          </w:tcPr>
          <w:p w14:paraId="5E3DD09E" w14:textId="77777777" w:rsidR="00E12DE5" w:rsidRDefault="00E12DE5" w:rsidP="00802326">
            <w:pPr>
              <w:pStyle w:val="TableBodyText"/>
              <w:keepNext w:val="0"/>
              <w:keepLines w:val="0"/>
              <w:spacing w:before="60" w:after="60"/>
              <w:ind w:right="6"/>
              <w:jc w:val="left"/>
              <w:rPr>
                <w:b/>
              </w:rPr>
            </w:pPr>
          </w:p>
        </w:tc>
        <w:tc>
          <w:tcPr>
            <w:tcW w:w="6379" w:type="dxa"/>
          </w:tcPr>
          <w:p w14:paraId="33149B8B" w14:textId="77777777" w:rsidR="00E12DE5" w:rsidRDefault="00E12DE5" w:rsidP="00802326">
            <w:pPr>
              <w:pStyle w:val="TableBodyText"/>
              <w:spacing w:before="60" w:after="60"/>
              <w:ind w:right="6"/>
              <w:jc w:val="left"/>
            </w:pPr>
            <w:r>
              <w:t>Some models of community housing are:</w:t>
            </w:r>
          </w:p>
          <w:p w14:paraId="389FE4C2" w14:textId="77777777" w:rsidR="00E12DE5" w:rsidRPr="006F2985" w:rsidRDefault="00E12DE5" w:rsidP="006F2985">
            <w:pPr>
              <w:pStyle w:val="TableBullet"/>
            </w:pPr>
            <w:r w:rsidRPr="00A25E47">
              <w:rPr>
                <w:i/>
              </w:rPr>
              <w:t>housing cooperatives</w:t>
            </w:r>
            <w:r w:rsidRPr="006F2985">
              <w:t>, providing tenancy management and maintenance of housing that is owned by government, a central finance company or an individual cooperative</w:t>
            </w:r>
          </w:p>
          <w:p w14:paraId="6917C855" w14:textId="77777777" w:rsidR="00E12DE5" w:rsidRPr="006F2985" w:rsidRDefault="00E12DE5" w:rsidP="006F2985">
            <w:pPr>
              <w:pStyle w:val="TableBullet"/>
            </w:pPr>
            <w:r w:rsidRPr="00A25E47">
              <w:rPr>
                <w:i/>
              </w:rPr>
              <w:t>local government housing associations</w:t>
            </w:r>
            <w:r w:rsidRPr="006F2985">
              <w:t>, providing low cost housing within a particular municipality, are closely involved in policy, planning, funding and/or monitoring roles, and can directly manage the housing stock</w:t>
            </w:r>
          </w:p>
          <w:p w14:paraId="506D4742" w14:textId="77777777" w:rsidR="00E12DE5" w:rsidRPr="006F2985" w:rsidRDefault="00E12DE5" w:rsidP="006F2985">
            <w:pPr>
              <w:pStyle w:val="TableBullet"/>
            </w:pPr>
            <w:r w:rsidRPr="00A25E47">
              <w:rPr>
                <w:i/>
              </w:rPr>
              <w:t>regional or local housing associations</w:t>
            </w:r>
            <w:r w:rsidRPr="006F2985">
              <w:t>, providing property and tenancy management services, and support services to tenants</w:t>
            </w:r>
          </w:p>
          <w:p w14:paraId="0B539BC7" w14:textId="77777777" w:rsidR="00E12DE5" w:rsidRPr="006F2985" w:rsidRDefault="00E12DE5" w:rsidP="006F2985">
            <w:pPr>
              <w:pStyle w:val="TableBullet"/>
            </w:pPr>
            <w:r w:rsidRPr="00A25E47">
              <w:rPr>
                <w:i/>
              </w:rPr>
              <w:t>specialist providers</w:t>
            </w:r>
            <w:r w:rsidRPr="006F2985">
              <w:t xml:space="preserve"> are organisations with a specific purpose or function, such as tenancy management, housing development, or for specific target groups (including people with disability)</w:t>
            </w:r>
          </w:p>
          <w:p w14:paraId="218BCAE1" w14:textId="77777777" w:rsidR="00E12DE5" w:rsidRPr="006F2985" w:rsidRDefault="00E12DE5" w:rsidP="006F2985">
            <w:pPr>
              <w:pStyle w:val="TableBullet"/>
            </w:pPr>
            <w:r w:rsidRPr="00A25E47">
              <w:rPr>
                <w:i/>
              </w:rPr>
              <w:t>broad service delivery</w:t>
            </w:r>
            <w:r w:rsidRPr="006F2985">
              <w:t xml:space="preserve"> are organisations that provide housing and other welfare services, such as aged care and disability services</w:t>
            </w:r>
          </w:p>
          <w:p w14:paraId="0AF2EC50" w14:textId="77777777" w:rsidR="00E12DE5" w:rsidRPr="006F2985" w:rsidRDefault="00E12DE5" w:rsidP="006F2985">
            <w:pPr>
              <w:pStyle w:val="TableBullet"/>
            </w:pPr>
            <w:r w:rsidRPr="00A25E47">
              <w:rPr>
                <w:i/>
              </w:rPr>
              <w:t>vertically integrated providers of affordable housing</w:t>
            </w:r>
            <w:r w:rsidRPr="006F2985">
              <w:t xml:space="preserve"> are involved in all stages of providing affordable housing, from construction to property and tenancy management</w:t>
            </w:r>
          </w:p>
          <w:p w14:paraId="246072FC" w14:textId="77777777" w:rsidR="00E12DE5" w:rsidRPr="006F2985" w:rsidRDefault="00E12DE5" w:rsidP="006F2985">
            <w:pPr>
              <w:pStyle w:val="TableBullet"/>
            </w:pPr>
            <w:r w:rsidRPr="00A25E47">
              <w:rPr>
                <w:i/>
              </w:rPr>
              <w:t>community ownership and/or management</w:t>
            </w:r>
            <w:r w:rsidRPr="006F2985">
              <w:t>, where housing is owned and/or managed by not–for–profit or community housing associations</w:t>
            </w:r>
          </w:p>
          <w:p w14:paraId="2327F0AF" w14:textId="77777777" w:rsidR="00E12DE5" w:rsidRPr="006F2985" w:rsidRDefault="00E12DE5" w:rsidP="006F2985">
            <w:pPr>
              <w:pStyle w:val="TableBullet"/>
            </w:pPr>
            <w:r w:rsidRPr="00A25E47">
              <w:rPr>
                <w:i/>
              </w:rPr>
              <w:t>joint ventures and housing partnerships</w:t>
            </w:r>
            <w:r w:rsidRPr="006F2985">
              <w:t xml:space="preserve">, where church and welfare entities, local government, private sector and other organisations provide resources in cooperation with State and Territory governments; or where groups of community housing providers form partnerships to maximise growth opportunities, share resources and/or manage </w:t>
            </w:r>
            <w:proofErr w:type="gramStart"/>
            <w:r w:rsidRPr="006F2985">
              <w:t>risk</w:t>
            </w:r>
            <w:proofErr w:type="gramEnd"/>
          </w:p>
          <w:p w14:paraId="5CCC374C" w14:textId="4E4939D2" w:rsidR="00E12DE5" w:rsidRDefault="00E12DE5" w:rsidP="006F2985">
            <w:pPr>
              <w:pStyle w:val="TableBullet"/>
            </w:pPr>
            <w:r w:rsidRPr="00A25E47">
              <w:rPr>
                <w:i/>
              </w:rPr>
              <w:t>equity share rental housing</w:t>
            </w:r>
            <w:r w:rsidRPr="006F2985">
              <w:t>, where housing cooperatives wholly own the housing stock and lease it to tenants (who are shareholders in the cooperative and, therefore, have the rights and responsibilities of cooperative management) (Australian, State and Territory governments).</w:t>
            </w:r>
          </w:p>
        </w:tc>
      </w:tr>
      <w:tr w:rsidR="00E12DE5" w:rsidRPr="002576C5" w14:paraId="30B5FE2C" w14:textId="77777777" w:rsidTr="00E12DE5">
        <w:tc>
          <w:tcPr>
            <w:tcW w:w="2410" w:type="dxa"/>
          </w:tcPr>
          <w:p w14:paraId="38152773" w14:textId="176AADCD" w:rsidR="00E12DE5" w:rsidRDefault="00E12DE5" w:rsidP="00802326">
            <w:pPr>
              <w:pStyle w:val="TableBodyText"/>
              <w:keepNext w:val="0"/>
              <w:keepLines w:val="0"/>
              <w:spacing w:before="60" w:after="60"/>
              <w:ind w:right="6"/>
              <w:jc w:val="left"/>
              <w:rPr>
                <w:b/>
              </w:rPr>
            </w:pPr>
            <w:r w:rsidRPr="002576C5">
              <w:rPr>
                <w:rFonts w:ascii="Times New Roman" w:hAnsi="Times New Roman"/>
              </w:rPr>
              <w:br w:type="page"/>
            </w:r>
            <w:r w:rsidRPr="002576C5">
              <w:rPr>
                <w:b/>
              </w:rPr>
              <w:t>New household</w:t>
            </w:r>
          </w:p>
        </w:tc>
        <w:tc>
          <w:tcPr>
            <w:tcW w:w="6379" w:type="dxa"/>
          </w:tcPr>
          <w:p w14:paraId="38B54561" w14:textId="6A3C1BBB" w:rsidR="00E12DE5" w:rsidRDefault="00E12DE5" w:rsidP="00802326">
            <w:pPr>
              <w:pStyle w:val="TableBullet"/>
              <w:keepNext w:val="0"/>
              <w:keepLines w:val="0"/>
              <w:numPr>
                <w:ilvl w:val="0"/>
                <w:numId w:val="0"/>
              </w:numPr>
              <w:spacing w:before="60" w:after="60"/>
              <w:ind w:left="6" w:right="6"/>
              <w:jc w:val="both"/>
            </w:pPr>
            <w:r w:rsidRPr="002576C5">
              <w:t>Households that commence receiving assistance during the relevant reporting period (financial year). A new household is recorded if the composition of the household changes i.e. if someone enters or leaves the household.</w:t>
            </w:r>
          </w:p>
        </w:tc>
      </w:tr>
      <w:tr w:rsidR="00E12DE5" w:rsidRPr="002576C5" w14:paraId="105240FF" w14:textId="77777777" w:rsidTr="00E12DE5">
        <w:tc>
          <w:tcPr>
            <w:tcW w:w="2410" w:type="dxa"/>
          </w:tcPr>
          <w:p w14:paraId="295D98AE" w14:textId="729A453F" w:rsidR="00E12DE5" w:rsidRDefault="00E12DE5" w:rsidP="00802326">
            <w:pPr>
              <w:pStyle w:val="TableBodyText"/>
              <w:keepNext w:val="0"/>
              <w:keepLines w:val="0"/>
              <w:spacing w:before="60" w:after="60"/>
              <w:ind w:right="6"/>
              <w:jc w:val="left"/>
              <w:rPr>
                <w:b/>
              </w:rPr>
            </w:pPr>
            <w:r w:rsidRPr="002576C5">
              <w:rPr>
                <w:rFonts w:ascii="Times New Roman" w:hAnsi="Times New Roman"/>
              </w:rPr>
              <w:br w:type="page"/>
            </w:r>
            <w:r w:rsidRPr="002576C5">
              <w:rPr>
                <w:b/>
              </w:rPr>
              <w:t>Occupancy rate</w:t>
            </w:r>
          </w:p>
        </w:tc>
        <w:tc>
          <w:tcPr>
            <w:tcW w:w="6379" w:type="dxa"/>
          </w:tcPr>
          <w:p w14:paraId="5638E022" w14:textId="1F00CB19" w:rsidR="00E12DE5" w:rsidRDefault="00E12DE5" w:rsidP="00802326">
            <w:pPr>
              <w:pStyle w:val="TableBullet"/>
              <w:keepNext w:val="0"/>
              <w:keepLines w:val="0"/>
              <w:numPr>
                <w:ilvl w:val="0"/>
                <w:numId w:val="0"/>
              </w:numPr>
              <w:spacing w:before="60" w:after="60"/>
              <w:ind w:left="6" w:right="6"/>
              <w:jc w:val="both"/>
            </w:pPr>
            <w:r w:rsidRPr="002576C5">
              <w:t>The number of dwellings occupied as a proportion of total dwellings.</w:t>
            </w:r>
          </w:p>
        </w:tc>
      </w:tr>
      <w:tr w:rsidR="00E12DE5" w:rsidRPr="002576C5" w14:paraId="069232FE" w14:textId="77777777" w:rsidTr="00E12DE5">
        <w:tc>
          <w:tcPr>
            <w:tcW w:w="2410" w:type="dxa"/>
          </w:tcPr>
          <w:p w14:paraId="36D0E68A" w14:textId="235F6F6F" w:rsidR="00E12DE5" w:rsidRDefault="00E12DE5" w:rsidP="00802326">
            <w:pPr>
              <w:pStyle w:val="TableBodyText"/>
              <w:keepNext w:val="0"/>
              <w:keepLines w:val="0"/>
              <w:spacing w:before="60" w:after="60"/>
              <w:ind w:right="6"/>
              <w:jc w:val="left"/>
              <w:rPr>
                <w:b/>
              </w:rPr>
            </w:pPr>
            <w:r w:rsidRPr="002576C5">
              <w:rPr>
                <w:b/>
              </w:rPr>
              <w:t>Occupied dwelling</w:t>
            </w:r>
          </w:p>
        </w:tc>
        <w:tc>
          <w:tcPr>
            <w:tcW w:w="6379" w:type="dxa"/>
          </w:tcPr>
          <w:p w14:paraId="69C97C44" w14:textId="7C7C42B7" w:rsidR="00E12DE5" w:rsidRDefault="00E12DE5" w:rsidP="00802326">
            <w:pPr>
              <w:pStyle w:val="TableBullet"/>
              <w:keepNext w:val="0"/>
              <w:keepLines w:val="0"/>
              <w:numPr>
                <w:ilvl w:val="0"/>
                <w:numId w:val="0"/>
              </w:numPr>
              <w:spacing w:before="60" w:after="60"/>
              <w:ind w:left="6" w:right="6"/>
              <w:jc w:val="both"/>
            </w:pPr>
            <w:r w:rsidRPr="002576C5">
              <w:t>Dwellings occupied by tenants who have a tenancy agreement with the relevant housing authority.</w:t>
            </w:r>
          </w:p>
        </w:tc>
      </w:tr>
      <w:tr w:rsidR="00E12DE5" w:rsidRPr="002576C5" w14:paraId="2C81CFDD" w14:textId="77777777" w:rsidTr="00E12DE5">
        <w:tc>
          <w:tcPr>
            <w:tcW w:w="2410" w:type="dxa"/>
          </w:tcPr>
          <w:p w14:paraId="4D230FCD" w14:textId="1F42BE62" w:rsidR="00E12DE5" w:rsidRDefault="00E12DE5" w:rsidP="00802326">
            <w:pPr>
              <w:pStyle w:val="TableBodyText"/>
              <w:keepNext w:val="0"/>
              <w:keepLines w:val="0"/>
              <w:spacing w:before="60" w:after="60"/>
              <w:ind w:right="6"/>
              <w:jc w:val="left"/>
              <w:rPr>
                <w:b/>
              </w:rPr>
            </w:pPr>
            <w:r w:rsidRPr="002576C5">
              <w:br w:type="page"/>
            </w:r>
            <w:r w:rsidRPr="002576C5">
              <w:rPr>
                <w:b/>
              </w:rPr>
              <w:t>Overcrowding</w:t>
            </w:r>
          </w:p>
        </w:tc>
        <w:tc>
          <w:tcPr>
            <w:tcW w:w="6379" w:type="dxa"/>
          </w:tcPr>
          <w:p w14:paraId="3369D0C5" w14:textId="46184F01" w:rsidR="00E12DE5" w:rsidRDefault="00E12DE5" w:rsidP="00802326">
            <w:pPr>
              <w:pStyle w:val="TableBullet"/>
              <w:keepNext w:val="0"/>
              <w:keepLines w:val="0"/>
              <w:numPr>
                <w:ilvl w:val="0"/>
                <w:numId w:val="0"/>
              </w:numPr>
              <w:spacing w:before="60" w:after="60"/>
              <w:ind w:left="6" w:right="6"/>
              <w:jc w:val="both"/>
            </w:pPr>
            <w:r w:rsidRPr="002576C5">
              <w:rPr>
                <w:rFonts w:cs="Arial"/>
              </w:rPr>
              <w:t>A situation in a dwelling when one or more additional bedrooms are required to meet the Canadian National Occupancy Standard.</w:t>
            </w:r>
          </w:p>
        </w:tc>
      </w:tr>
      <w:tr w:rsidR="00E12DE5" w:rsidRPr="002576C5" w14:paraId="52E81EC6" w14:textId="77777777" w:rsidTr="00E12DE5">
        <w:tc>
          <w:tcPr>
            <w:tcW w:w="2410" w:type="dxa"/>
          </w:tcPr>
          <w:p w14:paraId="18297D98" w14:textId="5E8E6CE6" w:rsidR="00E12DE5" w:rsidRDefault="00E12DE5" w:rsidP="00802326">
            <w:pPr>
              <w:pStyle w:val="TableBodyText"/>
              <w:keepNext w:val="0"/>
              <w:keepLines w:val="0"/>
              <w:spacing w:before="60" w:after="60"/>
              <w:ind w:right="6"/>
              <w:jc w:val="left"/>
              <w:rPr>
                <w:b/>
              </w:rPr>
            </w:pPr>
            <w:r w:rsidRPr="002576C5">
              <w:rPr>
                <w:b/>
              </w:rPr>
              <w:t>Priority access to those in greatest need</w:t>
            </w:r>
          </w:p>
        </w:tc>
        <w:tc>
          <w:tcPr>
            <w:tcW w:w="6379" w:type="dxa"/>
          </w:tcPr>
          <w:p w14:paraId="6F8742BA" w14:textId="2D9BC230" w:rsidR="00E12DE5" w:rsidRDefault="00E12DE5" w:rsidP="00802326">
            <w:pPr>
              <w:pStyle w:val="TableBullet"/>
              <w:keepNext w:val="0"/>
              <w:keepLines w:val="0"/>
              <w:numPr>
                <w:ilvl w:val="0"/>
                <w:numId w:val="0"/>
              </w:numPr>
              <w:spacing w:before="60" w:after="60"/>
              <w:ind w:left="6" w:right="6"/>
              <w:jc w:val="both"/>
            </w:pPr>
            <w:r w:rsidRPr="002576C5">
              <w:t>Allocation processes to ensure those in greatest need have first access to housing. This is measured as the proportion of new allocations to those in greatest need.</w:t>
            </w:r>
          </w:p>
        </w:tc>
      </w:tr>
      <w:tr w:rsidR="00E12DE5" w:rsidRPr="002576C5" w14:paraId="480FFE6A" w14:textId="77777777" w:rsidTr="00E12DE5">
        <w:tc>
          <w:tcPr>
            <w:tcW w:w="2410" w:type="dxa"/>
          </w:tcPr>
          <w:p w14:paraId="1BA08BB2" w14:textId="18F48F58" w:rsidR="00E12DE5" w:rsidRDefault="00E12DE5" w:rsidP="00802326">
            <w:pPr>
              <w:pStyle w:val="TableBodyText"/>
              <w:keepNext w:val="0"/>
              <w:keepLines w:val="0"/>
              <w:spacing w:before="60" w:after="60"/>
              <w:ind w:right="6"/>
              <w:jc w:val="left"/>
              <w:rPr>
                <w:b/>
              </w:rPr>
            </w:pPr>
            <w:r w:rsidRPr="002576C5">
              <w:rPr>
                <w:b/>
              </w:rPr>
              <w:t>Principal tenant</w:t>
            </w:r>
          </w:p>
        </w:tc>
        <w:tc>
          <w:tcPr>
            <w:tcW w:w="6379" w:type="dxa"/>
          </w:tcPr>
          <w:p w14:paraId="3446DB79" w14:textId="4B7589B2" w:rsidR="00E12DE5" w:rsidRDefault="00E12DE5" w:rsidP="00802326">
            <w:pPr>
              <w:pStyle w:val="TableBullet"/>
              <w:keepNext w:val="0"/>
              <w:keepLines w:val="0"/>
              <w:numPr>
                <w:ilvl w:val="0"/>
                <w:numId w:val="0"/>
              </w:numPr>
              <w:spacing w:before="60" w:after="60"/>
              <w:ind w:left="6" w:right="6"/>
              <w:jc w:val="both"/>
            </w:pPr>
            <w:r w:rsidRPr="002576C5">
              <w:t>The person whose name appears on the tenancy agreement. Where this is not clear, it should be the person who is responsible for rental payments.</w:t>
            </w:r>
          </w:p>
        </w:tc>
      </w:tr>
      <w:tr w:rsidR="00E12DE5" w:rsidRPr="002576C5" w14:paraId="5E37051C" w14:textId="77777777" w:rsidTr="00E12DE5">
        <w:tc>
          <w:tcPr>
            <w:tcW w:w="2410" w:type="dxa"/>
          </w:tcPr>
          <w:p w14:paraId="3F969F5E" w14:textId="792BE9FF" w:rsidR="00E12DE5" w:rsidRDefault="00E12DE5" w:rsidP="00802326">
            <w:pPr>
              <w:pStyle w:val="TableBodyText"/>
              <w:keepNext w:val="0"/>
              <w:keepLines w:val="0"/>
              <w:spacing w:before="60" w:after="60"/>
              <w:ind w:right="6"/>
              <w:jc w:val="left"/>
              <w:rPr>
                <w:b/>
              </w:rPr>
            </w:pPr>
            <w:r w:rsidRPr="002576C5">
              <w:rPr>
                <w:b/>
              </w:rPr>
              <w:t>Rebated household</w:t>
            </w:r>
          </w:p>
        </w:tc>
        <w:tc>
          <w:tcPr>
            <w:tcW w:w="6379" w:type="dxa"/>
          </w:tcPr>
          <w:p w14:paraId="4BFA4892" w14:textId="77305ED5" w:rsidR="00E12DE5" w:rsidRDefault="00E12DE5" w:rsidP="00802326">
            <w:pPr>
              <w:pStyle w:val="TableBullet"/>
              <w:keepNext w:val="0"/>
              <w:keepLines w:val="0"/>
              <w:numPr>
                <w:ilvl w:val="0"/>
                <w:numId w:val="0"/>
              </w:numPr>
              <w:spacing w:before="60" w:after="60"/>
              <w:ind w:left="6" w:right="6"/>
              <w:jc w:val="both"/>
            </w:pPr>
            <w:r w:rsidRPr="002576C5">
              <w:t>A household that receives housing assistance and pays less than the market rent value for the dwelling.</w:t>
            </w:r>
          </w:p>
        </w:tc>
      </w:tr>
      <w:tr w:rsidR="00E12DE5" w:rsidRPr="002576C5" w14:paraId="684CBFC0" w14:textId="77777777" w:rsidTr="00E12DE5">
        <w:tc>
          <w:tcPr>
            <w:tcW w:w="2410" w:type="dxa"/>
          </w:tcPr>
          <w:p w14:paraId="358E6069" w14:textId="24BCE355" w:rsidR="00E12DE5" w:rsidRDefault="00E12DE5" w:rsidP="00802326">
            <w:pPr>
              <w:pStyle w:val="TableBodyText"/>
              <w:keepNext w:val="0"/>
              <w:keepLines w:val="0"/>
              <w:spacing w:before="60" w:after="60"/>
              <w:ind w:right="6"/>
              <w:jc w:val="left"/>
              <w:rPr>
                <w:b/>
              </w:rPr>
            </w:pPr>
            <w:r w:rsidRPr="002576C5">
              <w:rPr>
                <w:b/>
              </w:rPr>
              <w:t>Remoteness areas</w:t>
            </w:r>
          </w:p>
        </w:tc>
        <w:tc>
          <w:tcPr>
            <w:tcW w:w="6379" w:type="dxa"/>
          </w:tcPr>
          <w:p w14:paraId="15B3042C" w14:textId="77777777" w:rsidR="00E12DE5" w:rsidRPr="002576C5" w:rsidRDefault="00E12DE5" w:rsidP="00802326">
            <w:pPr>
              <w:pStyle w:val="TableBodyText"/>
              <w:keepNext w:val="0"/>
              <w:keepLines w:val="0"/>
              <w:spacing w:before="60" w:after="60"/>
              <w:ind w:right="6"/>
              <w:jc w:val="left"/>
            </w:pPr>
            <w:r w:rsidRPr="002576C5">
              <w:t>An aggregation of non</w:t>
            </w:r>
            <w:r>
              <w:noBreakHyphen/>
            </w:r>
            <w:r w:rsidRPr="002576C5">
              <w:t xml:space="preserve">continuous geographical areas </w:t>
            </w:r>
            <w:r>
              <w:t>that</w:t>
            </w:r>
            <w:r w:rsidRPr="002576C5">
              <w:t xml:space="preserve"> share common characteristics of remoteness. The delimitation criteria for remoteness areas (RAs) are based on the Accessibility/Remoteness Index </w:t>
            </w:r>
            <w:r>
              <w:t>f</w:t>
            </w:r>
            <w:r w:rsidRPr="002576C5">
              <w:t>or Australia (ARIA+)</w:t>
            </w:r>
            <w:r>
              <w:t>,</w:t>
            </w:r>
            <w:r w:rsidRPr="002576C5">
              <w:t xml:space="preserve"> which measures the remoteness of a point based on the road distance to the nearest urban centre. Within the Australian Statistical Geography Standard, each RA is created from a grouping of Statistical Areas Level 1 having a particular degree of remoteness.</w:t>
            </w:r>
          </w:p>
          <w:p w14:paraId="0FB3C9F4" w14:textId="77777777" w:rsidR="00E12DE5" w:rsidRPr="002576C5" w:rsidRDefault="00E12DE5" w:rsidP="00802326">
            <w:pPr>
              <w:pStyle w:val="TableBodyText"/>
              <w:keepNext w:val="0"/>
              <w:keepLines w:val="0"/>
              <w:spacing w:before="60" w:after="60"/>
              <w:ind w:right="6"/>
              <w:jc w:val="both"/>
            </w:pPr>
            <w:r w:rsidRPr="002576C5">
              <w:t>Remoteness areas comprise the following six categories:</w:t>
            </w:r>
          </w:p>
          <w:p w14:paraId="7F57516E" w14:textId="77777777" w:rsidR="00E12DE5" w:rsidRPr="006F2985" w:rsidRDefault="00E12DE5" w:rsidP="006F2985">
            <w:pPr>
              <w:pStyle w:val="TableBullet"/>
            </w:pPr>
            <w:r w:rsidRPr="006F2985">
              <w:lastRenderedPageBreak/>
              <w:t>major cities of Australia</w:t>
            </w:r>
          </w:p>
          <w:p w14:paraId="53DBE737" w14:textId="77777777" w:rsidR="00E12DE5" w:rsidRPr="006F2985" w:rsidRDefault="00E12DE5" w:rsidP="006F2985">
            <w:pPr>
              <w:pStyle w:val="TableBullet"/>
            </w:pPr>
            <w:r w:rsidRPr="006F2985">
              <w:t>inner regional Australia</w:t>
            </w:r>
          </w:p>
          <w:p w14:paraId="3642055E" w14:textId="77777777" w:rsidR="00E12DE5" w:rsidRPr="006F2985" w:rsidRDefault="00E12DE5" w:rsidP="006F2985">
            <w:pPr>
              <w:pStyle w:val="TableBullet"/>
            </w:pPr>
            <w:r w:rsidRPr="006F2985">
              <w:t>outer regional Australia</w:t>
            </w:r>
          </w:p>
          <w:p w14:paraId="1DD4BF91" w14:textId="77777777" w:rsidR="00E12DE5" w:rsidRPr="006F2985" w:rsidRDefault="00E12DE5" w:rsidP="006F2985">
            <w:pPr>
              <w:pStyle w:val="TableBullet"/>
            </w:pPr>
            <w:r w:rsidRPr="006F2985">
              <w:t>remote Australia</w:t>
            </w:r>
          </w:p>
          <w:p w14:paraId="05C5DE0B" w14:textId="77777777" w:rsidR="00E12DE5" w:rsidRPr="00E246E3" w:rsidRDefault="00E12DE5" w:rsidP="006F2985">
            <w:pPr>
              <w:pStyle w:val="TableBullet"/>
              <w:rPr>
                <w:szCs w:val="24"/>
              </w:rPr>
            </w:pPr>
            <w:r>
              <w:t xml:space="preserve">very remote </w:t>
            </w:r>
            <w:r w:rsidRPr="006F2985">
              <w:t>Australia</w:t>
            </w:r>
          </w:p>
          <w:p w14:paraId="44690B0A" w14:textId="12E40099" w:rsidR="00E12DE5" w:rsidRDefault="00E12DE5" w:rsidP="006F2985">
            <w:pPr>
              <w:pStyle w:val="TableBullet"/>
            </w:pPr>
            <w:r w:rsidRPr="002576C5">
              <w:t xml:space="preserve">migratory — </w:t>
            </w:r>
            <w:r w:rsidRPr="006F2985">
              <w:t>offshore</w:t>
            </w:r>
            <w:r w:rsidRPr="002576C5">
              <w:t xml:space="preserve"> — shipping.</w:t>
            </w:r>
          </w:p>
        </w:tc>
      </w:tr>
      <w:tr w:rsidR="00E12DE5" w:rsidRPr="002576C5" w14:paraId="11B6BC8B" w14:textId="77777777" w:rsidTr="00E12DE5">
        <w:tc>
          <w:tcPr>
            <w:tcW w:w="2410" w:type="dxa"/>
          </w:tcPr>
          <w:p w14:paraId="7A95EAA6" w14:textId="7D6A0BEB" w:rsidR="00E12DE5" w:rsidRDefault="00E12DE5" w:rsidP="00802326">
            <w:pPr>
              <w:pStyle w:val="TableBodyText"/>
              <w:keepNext w:val="0"/>
              <w:keepLines w:val="0"/>
              <w:spacing w:before="60" w:after="60"/>
              <w:ind w:right="6"/>
              <w:jc w:val="left"/>
              <w:rPr>
                <w:b/>
              </w:rPr>
            </w:pPr>
            <w:r w:rsidRPr="002576C5">
              <w:rPr>
                <w:b/>
              </w:rPr>
              <w:lastRenderedPageBreak/>
              <w:t>Rent charged</w:t>
            </w:r>
          </w:p>
        </w:tc>
        <w:tc>
          <w:tcPr>
            <w:tcW w:w="6379" w:type="dxa"/>
          </w:tcPr>
          <w:p w14:paraId="0B03F609" w14:textId="4FF7B4B0" w:rsidR="00E12DE5" w:rsidRDefault="00E12DE5" w:rsidP="00802326">
            <w:pPr>
              <w:pStyle w:val="TableBullet"/>
              <w:keepNext w:val="0"/>
              <w:keepLines w:val="0"/>
              <w:numPr>
                <w:ilvl w:val="0"/>
                <w:numId w:val="0"/>
              </w:numPr>
              <w:spacing w:before="60" w:after="60"/>
              <w:ind w:left="6" w:right="6"/>
              <w:jc w:val="both"/>
            </w:pPr>
            <w:r w:rsidRPr="002576C5">
              <w:t>The amount in dollars that households are charged based on the rents they are expected to pay. The rents charged to tenants may or may not have been received.</w:t>
            </w:r>
          </w:p>
        </w:tc>
      </w:tr>
      <w:tr w:rsidR="00E12DE5" w:rsidRPr="002576C5" w14:paraId="3986AD6B" w14:textId="77777777" w:rsidTr="00E12DE5">
        <w:tc>
          <w:tcPr>
            <w:tcW w:w="2410" w:type="dxa"/>
          </w:tcPr>
          <w:p w14:paraId="1A5FE990" w14:textId="6858209E" w:rsidR="00E12DE5" w:rsidRDefault="00E12DE5" w:rsidP="00802326">
            <w:pPr>
              <w:pStyle w:val="TableBodyText"/>
              <w:keepNext w:val="0"/>
              <w:keepLines w:val="0"/>
              <w:spacing w:before="60" w:after="60"/>
              <w:ind w:right="6"/>
              <w:jc w:val="left"/>
              <w:rPr>
                <w:b/>
              </w:rPr>
            </w:pPr>
            <w:r w:rsidRPr="002576C5">
              <w:rPr>
                <w:b/>
              </w:rPr>
              <w:t>Tenancy (rental) unit</w:t>
            </w:r>
          </w:p>
        </w:tc>
        <w:tc>
          <w:tcPr>
            <w:tcW w:w="6379" w:type="dxa"/>
          </w:tcPr>
          <w:p w14:paraId="220DCFD4" w14:textId="0DBD2C6B" w:rsidR="00E12DE5" w:rsidRDefault="00E12DE5" w:rsidP="0037684D">
            <w:pPr>
              <w:pStyle w:val="TableBullet"/>
              <w:keepNext w:val="0"/>
              <w:keepLines w:val="0"/>
              <w:numPr>
                <w:ilvl w:val="0"/>
                <w:numId w:val="0"/>
              </w:numPr>
              <w:spacing w:before="60" w:after="60"/>
              <w:ind w:left="6" w:right="6"/>
              <w:jc w:val="both"/>
            </w:pPr>
            <w:r w:rsidRPr="002576C5">
              <w:t>A tenancy (rental</w:t>
            </w:r>
            <w:r w:rsidRPr="00107F5E">
              <w:t>) unit is the unit of accommodation for which a rental agreement can be made. With the exception of community housing, dwellings in the majority of cases have only one tenancy (rental) unit</w:t>
            </w:r>
            <w:r w:rsidR="0037684D">
              <w:t>. F</w:t>
            </w:r>
            <w:r w:rsidRPr="00107F5E">
              <w:t xml:space="preserve">or community housing and a small number of other cases (for example, boarding houses, special group homes, semi–institutional dwellings), there </w:t>
            </w:r>
            <w:r w:rsidR="0037684D">
              <w:t>is</w:t>
            </w:r>
            <w:r w:rsidRPr="00107F5E">
              <w:t xml:space="preserve"> commonly more than one tenancy (rental) unit</w:t>
            </w:r>
            <w:r w:rsidR="0037684D">
              <w:t xml:space="preserve"> per dwelling</w:t>
            </w:r>
            <w:r w:rsidRPr="00107F5E">
              <w:t>.</w:t>
            </w:r>
          </w:p>
        </w:tc>
      </w:tr>
      <w:tr w:rsidR="00E12DE5" w:rsidRPr="002576C5" w14:paraId="79D4AB93" w14:textId="77777777" w:rsidTr="00E12DE5">
        <w:tc>
          <w:tcPr>
            <w:tcW w:w="2410" w:type="dxa"/>
          </w:tcPr>
          <w:p w14:paraId="6A505DF9" w14:textId="17E83D1F" w:rsidR="00E12DE5" w:rsidRDefault="00E12DE5" w:rsidP="00802326">
            <w:pPr>
              <w:pStyle w:val="TableBodyText"/>
              <w:keepNext w:val="0"/>
              <w:keepLines w:val="0"/>
              <w:spacing w:before="60" w:after="60"/>
              <w:ind w:right="6"/>
              <w:jc w:val="left"/>
              <w:rPr>
                <w:b/>
              </w:rPr>
            </w:pPr>
            <w:r w:rsidRPr="002576C5">
              <w:rPr>
                <w:b/>
              </w:rPr>
              <w:t>Tenantable dwelling</w:t>
            </w:r>
          </w:p>
        </w:tc>
        <w:tc>
          <w:tcPr>
            <w:tcW w:w="6379" w:type="dxa"/>
          </w:tcPr>
          <w:p w14:paraId="757F5E66" w14:textId="426B7401" w:rsidR="00E12DE5" w:rsidRDefault="00E12DE5" w:rsidP="00802326">
            <w:pPr>
              <w:pStyle w:val="TableBullet"/>
              <w:keepNext w:val="0"/>
              <w:keepLines w:val="0"/>
              <w:numPr>
                <w:ilvl w:val="0"/>
                <w:numId w:val="0"/>
              </w:numPr>
              <w:spacing w:before="60" w:after="60"/>
              <w:ind w:left="6" w:right="6"/>
              <w:jc w:val="both"/>
            </w:pPr>
            <w:r w:rsidRPr="002576C5">
              <w:t>A dwelling where maintenance has been completed, whether occupied or unoccupied at 30 June. All occupied dwellings are tenantable.</w:t>
            </w:r>
          </w:p>
        </w:tc>
      </w:tr>
      <w:tr w:rsidR="00E12DE5" w:rsidRPr="002576C5" w14:paraId="26E3B98B" w14:textId="77777777" w:rsidTr="00E12DE5">
        <w:tc>
          <w:tcPr>
            <w:tcW w:w="2410" w:type="dxa"/>
          </w:tcPr>
          <w:p w14:paraId="22129C78" w14:textId="437D7B12" w:rsidR="00E12DE5" w:rsidRDefault="00E12DE5" w:rsidP="00802326">
            <w:pPr>
              <w:pStyle w:val="TableBodyText"/>
              <w:keepNext w:val="0"/>
              <w:keepLines w:val="0"/>
              <w:spacing w:before="60" w:after="60"/>
              <w:ind w:right="6"/>
              <w:jc w:val="left"/>
              <w:rPr>
                <w:b/>
              </w:rPr>
            </w:pPr>
            <w:r w:rsidRPr="002576C5">
              <w:rPr>
                <w:b/>
              </w:rPr>
              <w:t>Total gross household income</w:t>
            </w:r>
          </w:p>
        </w:tc>
        <w:tc>
          <w:tcPr>
            <w:tcW w:w="6379" w:type="dxa"/>
          </w:tcPr>
          <w:p w14:paraId="0ECB947E" w14:textId="2F4E2E18" w:rsidR="00E12DE5" w:rsidRDefault="00E12DE5" w:rsidP="00802326">
            <w:pPr>
              <w:pStyle w:val="TableBullet"/>
              <w:keepNext w:val="0"/>
              <w:keepLines w:val="0"/>
              <w:numPr>
                <w:ilvl w:val="0"/>
                <w:numId w:val="0"/>
              </w:numPr>
              <w:spacing w:before="60" w:after="60"/>
              <w:ind w:left="6" w:right="6"/>
              <w:jc w:val="both"/>
            </w:pPr>
            <w:r w:rsidRPr="002576C5">
              <w:t xml:space="preserve">The value of gross weekly income from all sources (before deductions for income tax, superannuation etc.) for all household members, expressed as dollars per week. The main components of gross income are current usual wages and salary; income derived from self–employment, government pensions, </w:t>
            </w:r>
            <w:proofErr w:type="gramStart"/>
            <w:r w:rsidRPr="002576C5">
              <w:t>benefits</w:t>
            </w:r>
            <w:proofErr w:type="gramEnd"/>
            <w:r w:rsidRPr="002576C5">
              <w:t xml:space="preserve"> and allowances; and other income comprising investments and other regular income. CRA payments are not included as income.</w:t>
            </w:r>
          </w:p>
        </w:tc>
      </w:tr>
      <w:tr w:rsidR="00E12DE5" w:rsidRPr="002576C5" w14:paraId="00986C90" w14:textId="77777777" w:rsidTr="00E12DE5">
        <w:tc>
          <w:tcPr>
            <w:tcW w:w="2410" w:type="dxa"/>
          </w:tcPr>
          <w:p w14:paraId="68336DF7" w14:textId="3FE72CD8" w:rsidR="00E12DE5" w:rsidRDefault="00E12DE5" w:rsidP="00802326">
            <w:pPr>
              <w:pStyle w:val="TableBodyText"/>
              <w:keepNext w:val="0"/>
              <w:keepLines w:val="0"/>
              <w:spacing w:before="60" w:after="60"/>
              <w:ind w:right="6"/>
              <w:jc w:val="left"/>
              <w:rPr>
                <w:b/>
              </w:rPr>
            </w:pPr>
            <w:r w:rsidRPr="002576C5">
              <w:rPr>
                <w:b/>
              </w:rPr>
              <w:t>Transfer household</w:t>
            </w:r>
          </w:p>
        </w:tc>
        <w:tc>
          <w:tcPr>
            <w:tcW w:w="6379" w:type="dxa"/>
          </w:tcPr>
          <w:p w14:paraId="7E1BC326" w14:textId="654B1F7D" w:rsidR="00E12DE5" w:rsidRDefault="00E12DE5" w:rsidP="00802326">
            <w:pPr>
              <w:pStyle w:val="TableBullet"/>
              <w:keepNext w:val="0"/>
              <w:keepLines w:val="0"/>
              <w:numPr>
                <w:ilvl w:val="0"/>
                <w:numId w:val="0"/>
              </w:numPr>
              <w:spacing w:before="60" w:after="60"/>
              <w:ind w:left="6" w:right="6"/>
              <w:jc w:val="both"/>
            </w:pPr>
            <w:r w:rsidRPr="002576C5">
              <w:t>A household, either rebated or market renting, that relocates (transfers) from one dwelling to another within the same social housing program. In the community housing data collection, a transfer household is a household that transfers within a single community housing organisation’s portfolio (not across the sector). This leads to under</w:t>
            </w:r>
            <w:r>
              <w:noBreakHyphen/>
            </w:r>
            <w:r w:rsidRPr="002576C5">
              <w:t>reporting of transfers.</w:t>
            </w:r>
          </w:p>
        </w:tc>
      </w:tr>
      <w:tr w:rsidR="00E12DE5" w:rsidRPr="002576C5" w14:paraId="5CC7900A" w14:textId="77777777" w:rsidTr="00E12DE5">
        <w:tc>
          <w:tcPr>
            <w:tcW w:w="2410" w:type="dxa"/>
          </w:tcPr>
          <w:p w14:paraId="7E324D58" w14:textId="22B02300" w:rsidR="00E12DE5" w:rsidRDefault="00E12DE5" w:rsidP="00802326">
            <w:pPr>
              <w:pStyle w:val="TableBodyText"/>
              <w:keepNext w:val="0"/>
              <w:keepLines w:val="0"/>
              <w:spacing w:before="60" w:after="60"/>
              <w:ind w:right="6"/>
              <w:jc w:val="left"/>
              <w:rPr>
                <w:b/>
              </w:rPr>
            </w:pPr>
            <w:r w:rsidRPr="002576C5">
              <w:rPr>
                <w:b/>
              </w:rPr>
              <w:t>Turnaround time</w:t>
            </w:r>
          </w:p>
        </w:tc>
        <w:tc>
          <w:tcPr>
            <w:tcW w:w="6379" w:type="dxa"/>
          </w:tcPr>
          <w:p w14:paraId="3599D3D3" w14:textId="0E03F746" w:rsidR="00E12DE5" w:rsidRDefault="00E12DE5" w:rsidP="00802326">
            <w:pPr>
              <w:pStyle w:val="TableBullet"/>
              <w:keepNext w:val="0"/>
              <w:keepLines w:val="0"/>
              <w:numPr>
                <w:ilvl w:val="0"/>
                <w:numId w:val="0"/>
              </w:numPr>
              <w:spacing w:before="60" w:after="60"/>
              <w:ind w:left="6" w:right="6"/>
              <w:jc w:val="both"/>
            </w:pPr>
            <w:r w:rsidRPr="002576C5">
              <w:t>The average time taken in days for vacant dwellings, which are available for letting, to be occupied.</w:t>
            </w:r>
          </w:p>
        </w:tc>
      </w:tr>
      <w:tr w:rsidR="00E12DE5" w:rsidRPr="002576C5" w14:paraId="0381C75E" w14:textId="77777777" w:rsidTr="00E12DE5">
        <w:tc>
          <w:tcPr>
            <w:tcW w:w="2410" w:type="dxa"/>
          </w:tcPr>
          <w:p w14:paraId="032DC1CD" w14:textId="5A3B8A3E" w:rsidR="00E12DE5" w:rsidRDefault="00E12DE5" w:rsidP="00802326">
            <w:pPr>
              <w:pStyle w:val="TableBodyText"/>
              <w:keepNext w:val="0"/>
              <w:keepLines w:val="0"/>
              <w:spacing w:before="60" w:after="60"/>
              <w:ind w:right="6"/>
              <w:jc w:val="left"/>
              <w:rPr>
                <w:b/>
              </w:rPr>
            </w:pPr>
            <w:r w:rsidRPr="002576C5">
              <w:rPr>
                <w:b/>
              </w:rPr>
              <w:t>Underutilisation</w:t>
            </w:r>
          </w:p>
        </w:tc>
        <w:tc>
          <w:tcPr>
            <w:tcW w:w="6379" w:type="dxa"/>
          </w:tcPr>
          <w:p w14:paraId="2585AEE4" w14:textId="4931EB61" w:rsidR="00E12DE5" w:rsidRDefault="00E12DE5" w:rsidP="00802326">
            <w:pPr>
              <w:pStyle w:val="TableBullet"/>
              <w:keepNext w:val="0"/>
              <w:keepLines w:val="0"/>
              <w:numPr>
                <w:ilvl w:val="0"/>
                <w:numId w:val="0"/>
              </w:numPr>
              <w:spacing w:before="60" w:after="60"/>
              <w:ind w:left="6" w:right="6"/>
              <w:jc w:val="both"/>
            </w:pPr>
            <w:r w:rsidRPr="002576C5">
              <w:t>A situation where a dwelling contains two or more bedrooms surplus to the needs of the household occupying it, according to the Canadian National Occupancy Standard.</w:t>
            </w:r>
          </w:p>
        </w:tc>
      </w:tr>
      <w:tr w:rsidR="00E12DE5" w:rsidRPr="002576C5" w14:paraId="1E77D8B4" w14:textId="77777777" w:rsidTr="00E12DE5">
        <w:tc>
          <w:tcPr>
            <w:tcW w:w="2410" w:type="dxa"/>
          </w:tcPr>
          <w:p w14:paraId="33BB0780" w14:textId="39336529" w:rsidR="00E12DE5" w:rsidRDefault="00E12DE5" w:rsidP="00802326">
            <w:pPr>
              <w:pStyle w:val="TableBodyText"/>
              <w:keepNext w:val="0"/>
              <w:keepLines w:val="0"/>
              <w:spacing w:before="60" w:after="60"/>
              <w:ind w:right="6"/>
              <w:jc w:val="left"/>
              <w:rPr>
                <w:b/>
              </w:rPr>
            </w:pPr>
            <w:r w:rsidRPr="002576C5">
              <w:rPr>
                <w:b/>
              </w:rPr>
              <w:t>Untenantable dwelling</w:t>
            </w:r>
          </w:p>
        </w:tc>
        <w:tc>
          <w:tcPr>
            <w:tcW w:w="6379" w:type="dxa"/>
          </w:tcPr>
          <w:p w14:paraId="6B2B12BC" w14:textId="1B1FD5DC" w:rsidR="00E12DE5" w:rsidRDefault="00E12DE5" w:rsidP="00802326">
            <w:pPr>
              <w:pStyle w:val="TableBullet"/>
              <w:keepNext w:val="0"/>
              <w:keepLines w:val="0"/>
              <w:numPr>
                <w:ilvl w:val="0"/>
                <w:numId w:val="0"/>
              </w:numPr>
              <w:spacing w:before="60" w:after="60"/>
              <w:ind w:left="6" w:right="6"/>
              <w:jc w:val="both"/>
            </w:pPr>
            <w:r w:rsidRPr="002576C5">
              <w:t>A dwelling not currently occupied by a tenant, where maintenance has been either deferred or not completed at 30 June.</w:t>
            </w:r>
          </w:p>
        </w:tc>
      </w:tr>
    </w:tbl>
    <w:p w14:paraId="6C72E2EE" w14:textId="32DC983D" w:rsidR="00D434A0" w:rsidRDefault="00E27B20" w:rsidP="00E27B20">
      <w:pPr>
        <w:pStyle w:val="Heading2"/>
      </w:pPr>
      <w:bookmarkStart w:id="43" w:name="_Toc27564469"/>
      <w:r>
        <w:t>18.4</w:t>
      </w:r>
      <w:r w:rsidRPr="00E27B20">
        <w:tab/>
        <w:t>References</w:t>
      </w:r>
      <w:bookmarkEnd w:id="43"/>
    </w:p>
    <w:p w14:paraId="51D52364" w14:textId="29C23CC5" w:rsidR="0053393B" w:rsidRDefault="0053393B" w:rsidP="0053393B">
      <w:pPr>
        <w:pStyle w:val="Reference"/>
      </w:pPr>
      <w:r w:rsidRPr="0053393B">
        <w:t>AIHW (Australian Institute of Health and Welfare) 20</w:t>
      </w:r>
      <w:r w:rsidR="003D09D1">
        <w:t>20</w:t>
      </w:r>
      <w:r w:rsidRPr="0053393B">
        <w:t xml:space="preserve">, </w:t>
      </w:r>
      <w:r w:rsidRPr="00257FAA">
        <w:rPr>
          <w:i/>
        </w:rPr>
        <w:t>Housing assistance in Australia</w:t>
      </w:r>
      <w:r w:rsidRPr="0053393B">
        <w:t xml:space="preserve">, </w:t>
      </w:r>
      <w:r w:rsidR="00FA6345" w:rsidRPr="00FA6345">
        <w:t>https://www.aihw.gov.au/reports/housing</w:t>
      </w:r>
      <w:r w:rsidR="00065C43">
        <w:noBreakHyphen/>
      </w:r>
      <w:r w:rsidR="00FA6345" w:rsidRPr="00FA6345">
        <w:t>assistance/housing</w:t>
      </w:r>
      <w:r w:rsidR="00065C43">
        <w:noBreakHyphen/>
      </w:r>
      <w:r w:rsidR="00FA6345" w:rsidRPr="00FA6345">
        <w:t>assistance</w:t>
      </w:r>
      <w:r w:rsidR="00065C43">
        <w:noBreakHyphen/>
      </w:r>
      <w:r w:rsidR="00FA6345" w:rsidRPr="00FA6345">
        <w:t>in</w:t>
      </w:r>
      <w:r w:rsidR="00065C43">
        <w:noBreakHyphen/>
      </w:r>
      <w:r w:rsidR="00FA6345" w:rsidRPr="00FA6345">
        <w:t>australia-2020/contents/priority</w:t>
      </w:r>
      <w:r w:rsidR="00065C43">
        <w:noBreakHyphen/>
      </w:r>
      <w:r w:rsidR="00FA6345" w:rsidRPr="00FA6345">
        <w:t>groups</w:t>
      </w:r>
      <w:r w:rsidR="00065C43">
        <w:noBreakHyphen/>
      </w:r>
      <w:r w:rsidR="00FA6345" w:rsidRPr="00FA6345">
        <w:t>and</w:t>
      </w:r>
      <w:r w:rsidR="00065C43">
        <w:noBreakHyphen/>
      </w:r>
      <w:r w:rsidR="00FA6345" w:rsidRPr="00FA6345">
        <w:t>waiting</w:t>
      </w:r>
      <w:r w:rsidR="00065C43">
        <w:noBreakHyphen/>
      </w:r>
      <w:r w:rsidR="00FA6345" w:rsidRPr="00FA6345">
        <w:t>lists</w:t>
      </w:r>
      <w:r w:rsidRPr="0053393B">
        <w:t xml:space="preserve"> (accessed </w:t>
      </w:r>
      <w:r w:rsidR="00FA6345">
        <w:t>7 October</w:t>
      </w:r>
      <w:r w:rsidRPr="0053393B">
        <w:t xml:space="preserve"> 20</w:t>
      </w:r>
      <w:r w:rsidR="00FA6345">
        <w:t>20</w:t>
      </w:r>
      <w:r w:rsidRPr="0053393B">
        <w:t>).</w:t>
      </w:r>
    </w:p>
    <w:p w14:paraId="0EF5E0EB" w14:textId="00443BA1" w:rsidR="0053393B" w:rsidRDefault="0053393B" w:rsidP="0053393B">
      <w:pPr>
        <w:pStyle w:val="Reference"/>
      </w:pPr>
      <w:r w:rsidRPr="0053393B">
        <w:t>——</w:t>
      </w:r>
      <w:r>
        <w:t xml:space="preserve"> 2019, </w:t>
      </w:r>
      <w:r w:rsidRPr="00257FAA">
        <w:rPr>
          <w:i/>
        </w:rPr>
        <w:t>National Social Housing Survey: key results 2018</w:t>
      </w:r>
      <w:r w:rsidRPr="0053393B">
        <w:t>, www.aihw.gov.au/</w:t>
      </w:r>
      <w:r w:rsidR="000B1C22">
        <w:br/>
      </w:r>
      <w:r w:rsidRPr="0053393B">
        <w:t>reports/housing</w:t>
      </w:r>
      <w:r w:rsidR="00065C43">
        <w:noBreakHyphen/>
      </w:r>
      <w:r w:rsidRPr="0053393B">
        <w:t>assistance/national</w:t>
      </w:r>
      <w:r w:rsidR="00065C43">
        <w:noBreakHyphen/>
      </w:r>
      <w:r w:rsidRPr="0053393B">
        <w:t>social</w:t>
      </w:r>
      <w:r w:rsidR="00065C43">
        <w:noBreakHyphen/>
      </w:r>
      <w:r w:rsidRPr="0053393B">
        <w:t>housing</w:t>
      </w:r>
      <w:r w:rsidR="00065C43">
        <w:noBreakHyphen/>
      </w:r>
      <w:r w:rsidRPr="0053393B">
        <w:t>survey</w:t>
      </w:r>
      <w:r w:rsidR="00065C43">
        <w:noBreakHyphen/>
      </w:r>
      <w:r w:rsidRPr="0053393B">
        <w:t>2018</w:t>
      </w:r>
      <w:r w:rsidR="00065C43">
        <w:noBreakHyphen/>
      </w:r>
      <w:r w:rsidRPr="0053393B">
        <w:t>key</w:t>
      </w:r>
      <w:r w:rsidR="00065C43">
        <w:noBreakHyphen/>
      </w:r>
      <w:r w:rsidR="00EB234A">
        <w:t>r</w:t>
      </w:r>
      <w:r w:rsidRPr="0053393B">
        <w:t>esults/contents/</w:t>
      </w:r>
      <w:r w:rsidR="00EB234A">
        <w:br/>
      </w:r>
      <w:r w:rsidRPr="0053393B">
        <w:t>table</w:t>
      </w:r>
      <w:r w:rsidR="00065C43">
        <w:noBreakHyphen/>
      </w:r>
      <w:r w:rsidRPr="0053393B">
        <w:t>of</w:t>
      </w:r>
      <w:r w:rsidR="00065C43">
        <w:noBreakHyphen/>
      </w:r>
      <w:r w:rsidRPr="0053393B">
        <w:t xml:space="preserve">contents (accessed </w:t>
      </w:r>
      <w:r w:rsidR="004C2F3E">
        <w:t>8 October 2020</w:t>
      </w:r>
      <w:r w:rsidRPr="0053393B">
        <w:t>).</w:t>
      </w:r>
    </w:p>
    <w:p w14:paraId="748A2A86" w14:textId="2636D45D" w:rsidR="00257FAA" w:rsidRDefault="00257FAA" w:rsidP="00257FAA">
      <w:pPr>
        <w:pStyle w:val="Reference"/>
      </w:pPr>
      <w:r>
        <w:t xml:space="preserve">Yates, J. and Gabriel, M. 2006, </w:t>
      </w:r>
      <w:r w:rsidRPr="00257FAA">
        <w:rPr>
          <w:i/>
        </w:rPr>
        <w:t>Housing Affordability in Australia</w:t>
      </w:r>
      <w:r>
        <w:t>, Research Paper No. 3, Australian Housing and Urban Research Institute, Melbourne.</w:t>
      </w:r>
    </w:p>
    <w:p w14:paraId="6223E501" w14:textId="738E5AED" w:rsidR="00257FAA" w:rsidRPr="0053393B" w:rsidRDefault="00257FAA" w:rsidP="00257FAA">
      <w:pPr>
        <w:pStyle w:val="Reference"/>
      </w:pPr>
      <w:r>
        <w:t xml:space="preserve">Yates, J. and Milligan, V. 2007, </w:t>
      </w:r>
      <w:r w:rsidRPr="00257FAA">
        <w:rPr>
          <w:i/>
        </w:rPr>
        <w:t>Housing affordability: a 21st century problem</w:t>
      </w:r>
      <w:r>
        <w:t>, Final Report No. 105, Australian Housing and Urban Research Institute, Melbourne.</w:t>
      </w:r>
    </w:p>
    <w:sectPr w:rsidR="00257FAA" w:rsidRPr="0053393B" w:rsidSect="00870632">
      <w:headerReference w:type="even" r:id="rId16"/>
      <w:headerReference w:type="default" r:id="rId17"/>
      <w:footerReference w:type="even" r:id="rId18"/>
      <w:footerReference w:type="default" r:id="rId19"/>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79AD" w14:textId="77777777" w:rsidR="003950C5" w:rsidRDefault="003950C5">
      <w:r>
        <w:separator/>
      </w:r>
    </w:p>
  </w:endnote>
  <w:endnote w:type="continuationSeparator" w:id="0">
    <w:p w14:paraId="2499CEA7" w14:textId="77777777" w:rsidR="003950C5" w:rsidRDefault="0039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67"/>
      <w:gridCol w:w="7710"/>
      <w:gridCol w:w="510"/>
    </w:tblGrid>
    <w:tr w:rsidR="003950C5" w14:paraId="049B6995" w14:textId="77777777" w:rsidTr="003D30F8">
      <w:trPr>
        <w:trHeight w:hRule="exact" w:val="567"/>
      </w:trPr>
      <w:tc>
        <w:tcPr>
          <w:tcW w:w="567" w:type="dxa"/>
        </w:tcPr>
        <w:p w14:paraId="2F1FD326" w14:textId="6EC7011D" w:rsidR="003950C5" w:rsidRDefault="003950C5" w:rsidP="003D30F8">
          <w:pPr>
            <w:pStyle w:val="Footer"/>
          </w:pPr>
          <w:r w:rsidRPr="003D30F8">
            <w:rPr>
              <w:rFonts w:cs="Arial"/>
              <w:b/>
            </w:rPr>
            <w:t>18.</w:t>
          </w:r>
          <w:r w:rsidRPr="003D30F8">
            <w:rPr>
              <w:rFonts w:cs="Arial"/>
              <w:b/>
            </w:rPr>
            <w:fldChar w:fldCharType="begin"/>
          </w:r>
          <w:r w:rsidRPr="003D30F8">
            <w:rPr>
              <w:rFonts w:cs="Arial"/>
              <w:b/>
            </w:rPr>
            <w:instrText xml:space="preserve">PAGE  </w:instrText>
          </w:r>
          <w:r w:rsidRPr="003D30F8">
            <w:rPr>
              <w:rFonts w:cs="Arial"/>
              <w:b/>
            </w:rPr>
            <w:fldChar w:fldCharType="separate"/>
          </w:r>
          <w:r>
            <w:rPr>
              <w:rFonts w:cs="Arial"/>
              <w:b/>
              <w:noProof/>
            </w:rPr>
            <w:t>2</w:t>
          </w:r>
          <w:r w:rsidRPr="003D30F8">
            <w:rPr>
              <w:rFonts w:cs="Arial"/>
              <w:b/>
            </w:rPr>
            <w:fldChar w:fldCharType="end"/>
          </w:r>
        </w:p>
      </w:tc>
      <w:tc>
        <w:tcPr>
          <w:tcW w:w="7710" w:type="dxa"/>
        </w:tcPr>
        <w:p w14:paraId="72F42FCB" w14:textId="07BE3CEC" w:rsidR="003950C5" w:rsidRPr="00BA5B14" w:rsidRDefault="003950C5" w:rsidP="006B7883">
          <w:pPr>
            <w:pStyle w:val="Footer"/>
            <w:rPr>
              <w:rFonts w:cs="Arial"/>
            </w:rPr>
          </w:pPr>
          <w:r w:rsidRPr="009D09BD">
            <w:rPr>
              <w:rFonts w:cs="Arial"/>
            </w:rPr>
            <w:t>Report on Government Services 202</w:t>
          </w:r>
          <w:r>
            <w:rPr>
              <w:rFonts w:cs="Arial"/>
            </w:rPr>
            <w:t>106</w:t>
          </w:r>
        </w:p>
      </w:tc>
      <w:tc>
        <w:tcPr>
          <w:tcW w:w="510" w:type="dxa"/>
        </w:tcPr>
        <w:p w14:paraId="1CDA7A88" w14:textId="478FC731" w:rsidR="003950C5" w:rsidRPr="00A24443" w:rsidRDefault="003950C5">
          <w:pPr>
            <w:pStyle w:val="Footer"/>
            <w:jc w:val="right"/>
            <w:rPr>
              <w:caps w:val="0"/>
            </w:rPr>
          </w:pPr>
        </w:p>
      </w:tc>
    </w:tr>
  </w:tbl>
  <w:p w14:paraId="592E391E" w14:textId="77777777" w:rsidR="003950C5" w:rsidRDefault="003950C5">
    <w:pPr>
      <w:pStyle w:val="FooterEnd"/>
    </w:pPr>
  </w:p>
  <w:p w14:paraId="2C27B651" w14:textId="77777777" w:rsidR="003950C5" w:rsidRDefault="003950C5"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50C5" w14:paraId="7A537A57" w14:textId="77777777" w:rsidTr="005F48ED">
      <w:trPr>
        <w:trHeight w:hRule="exact" w:val="567"/>
      </w:trPr>
      <w:tc>
        <w:tcPr>
          <w:tcW w:w="510" w:type="dxa"/>
        </w:tcPr>
        <w:p w14:paraId="6B0C0200" w14:textId="77777777" w:rsidR="003950C5" w:rsidRDefault="003950C5">
          <w:pPr>
            <w:pStyle w:val="Footer"/>
            <w:ind w:right="360" w:firstLine="360"/>
          </w:pPr>
        </w:p>
      </w:tc>
      <w:tc>
        <w:tcPr>
          <w:tcW w:w="7767" w:type="dxa"/>
        </w:tcPr>
        <w:p w14:paraId="46B5A260" w14:textId="4FBF1011" w:rsidR="003950C5" w:rsidRPr="00BA5B14" w:rsidRDefault="003950C5" w:rsidP="009D2B85">
          <w:pPr>
            <w:pStyle w:val="Footer"/>
            <w:jc w:val="right"/>
            <w:rPr>
              <w:rFonts w:cs="Arial"/>
            </w:rPr>
          </w:pPr>
          <w:r w:rsidRPr="004F1E16">
            <w:t>Housing interpretative</w:t>
          </w:r>
          <w:r>
            <w:rPr>
              <w:rFonts w:cs="Arial"/>
            </w:rPr>
            <w:t xml:space="preserve"> material</w:t>
          </w:r>
          <w:bookmarkStart w:id="5" w:name="DraftReportOdd"/>
          <w:bookmarkEnd w:id="5"/>
        </w:p>
      </w:tc>
      <w:tc>
        <w:tcPr>
          <w:tcW w:w="510" w:type="dxa"/>
        </w:tcPr>
        <w:p w14:paraId="412317C3" w14:textId="108B561E" w:rsidR="003950C5" w:rsidRPr="00A24443" w:rsidRDefault="003950C5">
          <w:pPr>
            <w:pStyle w:val="Footer"/>
            <w:jc w:val="right"/>
            <w:rP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6F894806" w14:textId="77777777" w:rsidR="003950C5" w:rsidRDefault="003950C5">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67"/>
      <w:gridCol w:w="13041"/>
    </w:tblGrid>
    <w:tr w:rsidR="003950C5" w14:paraId="10610E3B" w14:textId="77777777" w:rsidTr="006A0004">
      <w:trPr>
        <w:trHeight w:hRule="exact" w:val="567"/>
      </w:trPr>
      <w:tc>
        <w:tcPr>
          <w:tcW w:w="567" w:type="dxa"/>
        </w:tcPr>
        <w:p w14:paraId="2DB35777" w14:textId="77777777" w:rsidR="003950C5" w:rsidRPr="00A24443" w:rsidRDefault="003950C5" w:rsidP="0019293B">
          <w:pPr>
            <w:pStyle w:val="Footer"/>
            <w:tabs>
              <w:tab w:val="left" w:pos="0"/>
            </w:tabs>
            <w:ind w:right="0"/>
            <w:rPr>
              <w:rStyle w:val="PageNumbe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12</w:t>
          </w:r>
          <w:r w:rsidRPr="00A24443">
            <w:rPr>
              <w:rStyle w:val="PageNumber"/>
              <w:caps w:val="0"/>
            </w:rPr>
            <w:fldChar w:fldCharType="end"/>
          </w:r>
        </w:p>
      </w:tc>
      <w:tc>
        <w:tcPr>
          <w:tcW w:w="13041" w:type="dxa"/>
        </w:tcPr>
        <w:p w14:paraId="542F2DD2" w14:textId="67FC7AD3" w:rsidR="003950C5" w:rsidRPr="0013739A" w:rsidRDefault="003950C5" w:rsidP="006B7883">
          <w:pPr>
            <w:pStyle w:val="Footer"/>
            <w:rPr>
              <w:rFonts w:cs="Arial"/>
            </w:rPr>
          </w:pPr>
          <w:r w:rsidRPr="009D09BD">
            <w:rPr>
              <w:rFonts w:cs="Arial"/>
            </w:rPr>
            <w:t>REPORT ON GOVERNMENT SERVICES 202</w:t>
          </w:r>
          <w:r>
            <w:rPr>
              <w:rFonts w:cs="Arial"/>
            </w:rPr>
            <w:t>106</w:t>
          </w:r>
        </w:p>
      </w:tc>
    </w:tr>
  </w:tbl>
  <w:p w14:paraId="766BA181" w14:textId="77777777" w:rsidR="003950C5" w:rsidRDefault="003950C5" w:rsidP="0019293B">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531"/>
      <w:gridCol w:w="565"/>
    </w:tblGrid>
    <w:tr w:rsidR="003950C5" w14:paraId="11B50FBF" w14:textId="77777777" w:rsidTr="006A0004">
      <w:trPr>
        <w:trHeight w:hRule="exact" w:val="567"/>
      </w:trPr>
      <w:tc>
        <w:tcPr>
          <w:tcW w:w="510" w:type="dxa"/>
        </w:tcPr>
        <w:p w14:paraId="51BEB794" w14:textId="77777777" w:rsidR="003950C5" w:rsidRDefault="003950C5">
          <w:pPr>
            <w:pStyle w:val="Footer"/>
            <w:ind w:right="360" w:firstLine="360"/>
          </w:pPr>
        </w:p>
      </w:tc>
      <w:tc>
        <w:tcPr>
          <w:tcW w:w="12531" w:type="dxa"/>
        </w:tcPr>
        <w:p w14:paraId="1C957BA4" w14:textId="61874092" w:rsidR="003950C5" w:rsidRPr="00BA5B14" w:rsidRDefault="003950C5" w:rsidP="009D2B85">
          <w:pPr>
            <w:pStyle w:val="Footer"/>
            <w:jc w:val="right"/>
            <w:rPr>
              <w:rFonts w:cs="Arial"/>
            </w:rPr>
          </w:pPr>
          <w:r>
            <w:rPr>
              <w:rFonts w:cs="Arial"/>
            </w:rPr>
            <w:t>Housing INTERPRETATIVE MATERIAL</w:t>
          </w:r>
        </w:p>
      </w:tc>
      <w:tc>
        <w:tcPr>
          <w:tcW w:w="565" w:type="dxa"/>
        </w:tcPr>
        <w:p w14:paraId="2DB4F202" w14:textId="77777777" w:rsidR="003950C5" w:rsidRPr="00A24443" w:rsidRDefault="003950C5">
          <w:pPr>
            <w:pStyle w:val="Footer"/>
            <w:jc w:val="right"/>
            <w:rP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11</w:t>
          </w:r>
          <w:r w:rsidRPr="00A24443">
            <w:rPr>
              <w:rStyle w:val="PageNumber"/>
              <w:caps w:val="0"/>
            </w:rPr>
            <w:fldChar w:fldCharType="end"/>
          </w:r>
        </w:p>
      </w:tc>
    </w:tr>
  </w:tbl>
  <w:p w14:paraId="6A29BDC5" w14:textId="77777777" w:rsidR="003950C5" w:rsidRDefault="003950C5">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50C5" w14:paraId="595F5DFF" w14:textId="77777777" w:rsidTr="005F48ED">
      <w:trPr>
        <w:trHeight w:hRule="exact" w:val="567"/>
      </w:trPr>
      <w:tc>
        <w:tcPr>
          <w:tcW w:w="510" w:type="dxa"/>
        </w:tcPr>
        <w:p w14:paraId="55B5ACD9" w14:textId="1F5D4500" w:rsidR="003950C5" w:rsidRPr="00A24443" w:rsidRDefault="003950C5" w:rsidP="0019293B">
          <w:pPr>
            <w:pStyle w:val="Footer"/>
            <w:tabs>
              <w:tab w:val="left" w:pos="0"/>
            </w:tabs>
            <w:ind w:right="0"/>
            <w:rPr>
              <w:rStyle w:val="PageNumbe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20</w:t>
          </w:r>
          <w:r w:rsidRPr="00A24443">
            <w:rPr>
              <w:rStyle w:val="PageNumber"/>
              <w:caps w:val="0"/>
            </w:rPr>
            <w:fldChar w:fldCharType="end"/>
          </w:r>
        </w:p>
      </w:tc>
      <w:tc>
        <w:tcPr>
          <w:tcW w:w="7767" w:type="dxa"/>
        </w:tcPr>
        <w:p w14:paraId="35B4D940" w14:textId="25D81046" w:rsidR="003950C5" w:rsidRPr="0013739A" w:rsidRDefault="003950C5" w:rsidP="006B7883">
          <w:pPr>
            <w:pStyle w:val="Footer"/>
            <w:rPr>
              <w:rFonts w:cs="Arial"/>
            </w:rPr>
          </w:pPr>
          <w:r>
            <w:rPr>
              <w:rFonts w:cs="Arial"/>
            </w:rPr>
            <w:t>Report on Government Services 202</w:t>
          </w:r>
          <w:bookmarkStart w:id="44" w:name="DraftReportEven"/>
          <w:bookmarkEnd w:id="44"/>
          <w:r>
            <w:rPr>
              <w:rFonts w:cs="Arial"/>
            </w:rPr>
            <w:t>106</w:t>
          </w:r>
        </w:p>
      </w:tc>
      <w:tc>
        <w:tcPr>
          <w:tcW w:w="510" w:type="dxa"/>
        </w:tcPr>
        <w:p w14:paraId="75FF2C9C" w14:textId="77777777" w:rsidR="003950C5" w:rsidRDefault="003950C5" w:rsidP="0019293B">
          <w:pPr>
            <w:pStyle w:val="Footer"/>
          </w:pPr>
        </w:p>
      </w:tc>
    </w:tr>
  </w:tbl>
  <w:p w14:paraId="3AA5ED42" w14:textId="77777777" w:rsidR="003950C5" w:rsidRDefault="003950C5" w:rsidP="0019293B">
    <w:pPr>
      <w:pStyle w:val="FooterEnd"/>
    </w:pPr>
  </w:p>
  <w:p w14:paraId="593B5EEE" w14:textId="77777777" w:rsidR="003950C5" w:rsidRDefault="003950C5" w:rsidP="0019293B">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50C5" w14:paraId="25D99679" w14:textId="77777777" w:rsidTr="005F48ED">
      <w:trPr>
        <w:trHeight w:hRule="exact" w:val="567"/>
      </w:trPr>
      <w:tc>
        <w:tcPr>
          <w:tcW w:w="510" w:type="dxa"/>
        </w:tcPr>
        <w:p w14:paraId="42BDC53B" w14:textId="77777777" w:rsidR="003950C5" w:rsidRDefault="003950C5">
          <w:pPr>
            <w:pStyle w:val="Footer"/>
            <w:ind w:right="360" w:firstLine="360"/>
          </w:pPr>
        </w:p>
      </w:tc>
      <w:tc>
        <w:tcPr>
          <w:tcW w:w="7767" w:type="dxa"/>
        </w:tcPr>
        <w:p w14:paraId="05443C5B" w14:textId="172CE8CC" w:rsidR="003950C5" w:rsidRPr="00BA5B14" w:rsidRDefault="003950C5" w:rsidP="00325E72">
          <w:pPr>
            <w:pStyle w:val="Footer"/>
            <w:jc w:val="right"/>
            <w:rPr>
              <w:rFonts w:cs="Arial"/>
            </w:rPr>
          </w:pPr>
          <w:r>
            <w:rPr>
              <w:rFonts w:cs="Arial"/>
            </w:rPr>
            <w:t>Housing interpretative material</w:t>
          </w:r>
        </w:p>
      </w:tc>
      <w:tc>
        <w:tcPr>
          <w:tcW w:w="510" w:type="dxa"/>
        </w:tcPr>
        <w:p w14:paraId="25CC3352" w14:textId="2C7BAB09" w:rsidR="003950C5" w:rsidRPr="00A24443" w:rsidRDefault="003950C5">
          <w:pPr>
            <w:pStyle w:val="Footer"/>
            <w:jc w:val="right"/>
            <w:rP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21</w:t>
          </w:r>
          <w:r w:rsidRPr="00A24443">
            <w:rPr>
              <w:rStyle w:val="PageNumber"/>
              <w:caps w:val="0"/>
            </w:rPr>
            <w:fldChar w:fldCharType="end"/>
          </w:r>
        </w:p>
      </w:tc>
    </w:tr>
  </w:tbl>
  <w:p w14:paraId="276E76F3" w14:textId="77777777" w:rsidR="003950C5" w:rsidRDefault="003950C5">
    <w:pPr>
      <w:pStyle w:val="FooterEnd"/>
    </w:pPr>
  </w:p>
  <w:p w14:paraId="2554D6B6" w14:textId="77777777" w:rsidR="003950C5" w:rsidRDefault="003950C5">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B83D" w14:textId="77777777" w:rsidR="003950C5" w:rsidRDefault="003950C5">
      <w:r>
        <w:separator/>
      </w:r>
    </w:p>
  </w:footnote>
  <w:footnote w:type="continuationSeparator" w:id="0">
    <w:p w14:paraId="2DBBD710" w14:textId="77777777" w:rsidR="003950C5" w:rsidRDefault="00395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50C5" w14:paraId="666717A9" w14:textId="77777777">
      <w:tc>
        <w:tcPr>
          <w:tcW w:w="2155" w:type="dxa"/>
          <w:tcBorders>
            <w:top w:val="single" w:sz="24" w:space="0" w:color="auto"/>
          </w:tcBorders>
        </w:tcPr>
        <w:p w14:paraId="1C8FB1F5" w14:textId="77777777" w:rsidR="003950C5" w:rsidRDefault="003950C5" w:rsidP="0019293B">
          <w:pPr>
            <w:pStyle w:val="HeaderEven"/>
          </w:pPr>
        </w:p>
      </w:tc>
      <w:tc>
        <w:tcPr>
          <w:tcW w:w="6634" w:type="dxa"/>
          <w:tcBorders>
            <w:top w:val="single" w:sz="6" w:space="0" w:color="auto"/>
          </w:tcBorders>
        </w:tcPr>
        <w:p w14:paraId="4FAACC29" w14:textId="62F1A431" w:rsidR="003950C5" w:rsidRDefault="003950C5" w:rsidP="005E4403">
          <w:pPr>
            <w:pStyle w:val="HeaderEven"/>
            <w:jc w:val="right"/>
          </w:pPr>
        </w:p>
      </w:tc>
    </w:tr>
  </w:tbl>
  <w:p w14:paraId="1C039546" w14:textId="77777777" w:rsidR="003950C5" w:rsidRDefault="003950C5" w:rsidP="0019293B">
    <w:pPr>
      <w:pStyle w:val="HeaderEnd"/>
    </w:pPr>
  </w:p>
  <w:p w14:paraId="2EF52573" w14:textId="77777777" w:rsidR="003950C5" w:rsidRDefault="003950C5"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50C5" w14:paraId="4DEC8FD6" w14:textId="77777777" w:rsidTr="006F2985">
      <w:tc>
        <w:tcPr>
          <w:tcW w:w="6634" w:type="dxa"/>
          <w:tcBorders>
            <w:top w:val="single" w:sz="6" w:space="0" w:color="auto"/>
          </w:tcBorders>
        </w:tcPr>
        <w:p w14:paraId="03348291" w14:textId="40304637" w:rsidR="003950C5" w:rsidRDefault="003950C5" w:rsidP="00B611D1">
          <w:pPr>
            <w:pStyle w:val="HeaderOdd"/>
          </w:pPr>
        </w:p>
      </w:tc>
      <w:tc>
        <w:tcPr>
          <w:tcW w:w="2155" w:type="dxa"/>
          <w:tcBorders>
            <w:top w:val="single" w:sz="24" w:space="0" w:color="auto"/>
          </w:tcBorders>
        </w:tcPr>
        <w:p w14:paraId="39BE205E" w14:textId="77777777" w:rsidR="003950C5" w:rsidRDefault="003950C5" w:rsidP="006F2985">
          <w:pPr>
            <w:pStyle w:val="HeaderOdd"/>
          </w:pPr>
        </w:p>
      </w:tc>
    </w:tr>
  </w:tbl>
  <w:p w14:paraId="0756EED8" w14:textId="77777777" w:rsidR="003950C5" w:rsidRDefault="003950C5" w:rsidP="00E669E2">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6" w:type="dxa"/>
      <w:tblLayout w:type="fixed"/>
      <w:tblCellMar>
        <w:left w:w="0" w:type="dxa"/>
        <w:right w:w="0" w:type="dxa"/>
      </w:tblCellMar>
      <w:tblLook w:val="0000" w:firstRow="0" w:lastRow="0" w:firstColumn="0" w:lastColumn="0" w:noHBand="0" w:noVBand="0"/>
    </w:tblPr>
    <w:tblGrid>
      <w:gridCol w:w="2240"/>
      <w:gridCol w:w="11366"/>
    </w:tblGrid>
    <w:tr w:rsidR="003950C5" w14:paraId="6334045B" w14:textId="77777777" w:rsidTr="008753F9">
      <w:tc>
        <w:tcPr>
          <w:tcW w:w="2240" w:type="dxa"/>
          <w:tcBorders>
            <w:top w:val="single" w:sz="24" w:space="0" w:color="auto"/>
          </w:tcBorders>
        </w:tcPr>
        <w:p w14:paraId="61967118" w14:textId="77777777" w:rsidR="003950C5" w:rsidRDefault="003950C5" w:rsidP="006F2985">
          <w:pPr>
            <w:pStyle w:val="HeaderEven"/>
          </w:pPr>
        </w:p>
      </w:tc>
      <w:tc>
        <w:tcPr>
          <w:tcW w:w="11366" w:type="dxa"/>
          <w:tcBorders>
            <w:top w:val="single" w:sz="6" w:space="0" w:color="auto"/>
          </w:tcBorders>
        </w:tcPr>
        <w:p w14:paraId="637D9117" w14:textId="65691566" w:rsidR="003950C5" w:rsidRDefault="003950C5" w:rsidP="00530E6A">
          <w:pPr>
            <w:pStyle w:val="HeaderEven"/>
            <w:jc w:val="right"/>
          </w:pPr>
        </w:p>
      </w:tc>
    </w:tr>
  </w:tbl>
  <w:p w14:paraId="5D981191" w14:textId="77777777" w:rsidR="003950C5" w:rsidRDefault="003950C5" w:rsidP="0019293B">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8" w:type="dxa"/>
      <w:tblBorders>
        <w:top w:val="single" w:sz="6" w:space="0" w:color="auto"/>
      </w:tblBorders>
      <w:tblLayout w:type="fixed"/>
      <w:tblCellMar>
        <w:left w:w="0" w:type="dxa"/>
        <w:right w:w="0" w:type="dxa"/>
      </w:tblCellMar>
      <w:tblLook w:val="0000" w:firstRow="0" w:lastRow="0" w:firstColumn="0" w:lastColumn="0" w:noHBand="0" w:noVBand="0"/>
    </w:tblPr>
    <w:tblGrid>
      <w:gridCol w:w="11856"/>
      <w:gridCol w:w="1752"/>
    </w:tblGrid>
    <w:tr w:rsidR="003950C5" w14:paraId="47144163" w14:textId="77777777" w:rsidTr="003E3170">
      <w:tc>
        <w:tcPr>
          <w:tcW w:w="11856" w:type="dxa"/>
          <w:tcBorders>
            <w:top w:val="single" w:sz="6" w:space="0" w:color="auto"/>
          </w:tcBorders>
        </w:tcPr>
        <w:p w14:paraId="2BE02582" w14:textId="6B34D8AB" w:rsidR="003950C5" w:rsidRDefault="003950C5" w:rsidP="006F2985">
          <w:pPr>
            <w:pStyle w:val="HeaderOdd"/>
          </w:pPr>
        </w:p>
      </w:tc>
      <w:tc>
        <w:tcPr>
          <w:tcW w:w="1752" w:type="dxa"/>
          <w:tcBorders>
            <w:top w:val="single" w:sz="24" w:space="0" w:color="auto"/>
          </w:tcBorders>
        </w:tcPr>
        <w:p w14:paraId="510BA70B" w14:textId="77777777" w:rsidR="003950C5" w:rsidRDefault="003950C5" w:rsidP="006F2985">
          <w:pPr>
            <w:pStyle w:val="HeaderOdd"/>
          </w:pPr>
        </w:p>
      </w:tc>
    </w:tr>
  </w:tbl>
  <w:p w14:paraId="6F1D5E7C" w14:textId="77777777" w:rsidR="003950C5" w:rsidRDefault="003950C5" w:rsidP="00E669E2">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50C5" w14:paraId="586A1A05" w14:textId="77777777">
      <w:tc>
        <w:tcPr>
          <w:tcW w:w="2155" w:type="dxa"/>
          <w:tcBorders>
            <w:top w:val="single" w:sz="24" w:space="0" w:color="auto"/>
          </w:tcBorders>
        </w:tcPr>
        <w:p w14:paraId="23C88E82" w14:textId="77777777" w:rsidR="003950C5" w:rsidRDefault="003950C5" w:rsidP="0019293B">
          <w:pPr>
            <w:pStyle w:val="HeaderEven"/>
          </w:pPr>
        </w:p>
      </w:tc>
      <w:tc>
        <w:tcPr>
          <w:tcW w:w="6634" w:type="dxa"/>
          <w:tcBorders>
            <w:top w:val="single" w:sz="6" w:space="0" w:color="auto"/>
          </w:tcBorders>
        </w:tcPr>
        <w:p w14:paraId="600FC79F" w14:textId="0480CB4F" w:rsidR="003950C5" w:rsidRDefault="003950C5" w:rsidP="00530E6A">
          <w:pPr>
            <w:pStyle w:val="HeaderEven"/>
            <w:jc w:val="right"/>
          </w:pPr>
        </w:p>
      </w:tc>
    </w:tr>
  </w:tbl>
  <w:p w14:paraId="797503EF" w14:textId="77777777" w:rsidR="003950C5" w:rsidRDefault="003950C5" w:rsidP="0019293B">
    <w:pPr>
      <w:pStyle w:val="HeaderEnd"/>
    </w:pPr>
  </w:p>
  <w:p w14:paraId="2243F2DB" w14:textId="77777777" w:rsidR="003950C5" w:rsidRDefault="003950C5" w:rsidP="0019293B">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50C5" w14:paraId="2DD93965" w14:textId="77777777">
      <w:tc>
        <w:tcPr>
          <w:tcW w:w="6634" w:type="dxa"/>
          <w:tcBorders>
            <w:top w:val="single" w:sz="6" w:space="0" w:color="auto"/>
          </w:tcBorders>
        </w:tcPr>
        <w:p w14:paraId="5F5E1089" w14:textId="0B66DEDF" w:rsidR="003950C5" w:rsidRDefault="003950C5" w:rsidP="00E669E2">
          <w:pPr>
            <w:pStyle w:val="HeaderOdd"/>
          </w:pPr>
        </w:p>
      </w:tc>
      <w:tc>
        <w:tcPr>
          <w:tcW w:w="2155" w:type="dxa"/>
          <w:tcBorders>
            <w:top w:val="single" w:sz="24" w:space="0" w:color="auto"/>
          </w:tcBorders>
        </w:tcPr>
        <w:p w14:paraId="36AD350E" w14:textId="77777777" w:rsidR="003950C5" w:rsidRDefault="003950C5" w:rsidP="00E669E2">
          <w:pPr>
            <w:pStyle w:val="HeaderOdd"/>
          </w:pPr>
        </w:p>
      </w:tc>
    </w:tr>
  </w:tbl>
  <w:p w14:paraId="017BB355" w14:textId="77777777" w:rsidR="003950C5" w:rsidRDefault="003950C5" w:rsidP="00E669E2">
    <w:pPr>
      <w:pStyle w:val="HeaderEnd"/>
    </w:pPr>
  </w:p>
  <w:p w14:paraId="6D9DF21C" w14:textId="77777777" w:rsidR="003950C5" w:rsidRDefault="003950C5"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B6E91"/>
    <w:multiLevelType w:val="hybridMultilevel"/>
    <w:tmpl w:val="E8DE1A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6D6B5FCB"/>
    <w:multiLevelType w:val="hybridMultilevel"/>
    <w:tmpl w:val="7A22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843AAE"/>
    <w:multiLevelType w:val="hybridMultilevel"/>
    <w:tmpl w:val="3D6A597C"/>
    <w:lvl w:ilvl="0" w:tplc="165E7508">
      <w:start w:val="12"/>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5"/>
  </w:num>
  <w:num w:numId="4">
    <w:abstractNumId w:val="5"/>
  </w:num>
  <w:num w:numId="5">
    <w:abstractNumId w:val="20"/>
  </w:num>
  <w:num w:numId="6">
    <w:abstractNumId w:val="17"/>
  </w:num>
  <w:num w:numId="7">
    <w:abstractNumId w:val="9"/>
  </w:num>
  <w:num w:numId="8">
    <w:abstractNumId w:val="16"/>
  </w:num>
  <w:num w:numId="9">
    <w:abstractNumId w:val="8"/>
  </w:num>
  <w:num w:numId="10">
    <w:abstractNumId w:val="7"/>
  </w:num>
  <w:num w:numId="11">
    <w:abstractNumId w:val="11"/>
  </w:num>
  <w:num w:numId="12">
    <w:abstractNumId w:val="12"/>
  </w:num>
  <w:num w:numId="13">
    <w:abstractNumId w:val="6"/>
  </w:num>
  <w:num w:numId="14">
    <w:abstractNumId w:val="18"/>
  </w:num>
  <w:num w:numId="15">
    <w:abstractNumId w:val="22"/>
  </w:num>
  <w:num w:numId="16">
    <w:abstractNumId w:val="14"/>
  </w:num>
  <w:num w:numId="17">
    <w:abstractNumId w:val="24"/>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10"/>
  </w:num>
  <w:num w:numId="22">
    <w:abstractNumId w:val="21"/>
  </w:num>
  <w:num w:numId="23">
    <w:abstractNumId w:val="2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Housing interpretative material"/>
    <w:docVar w:name="ShortReportTitle" w:val="Report on Government Services 2020"/>
  </w:docVars>
  <w:rsids>
    <w:rsidRoot w:val="00651016"/>
    <w:rsid w:val="00003580"/>
    <w:rsid w:val="00006601"/>
    <w:rsid w:val="00006823"/>
    <w:rsid w:val="000101CD"/>
    <w:rsid w:val="00010BD5"/>
    <w:rsid w:val="00021EE0"/>
    <w:rsid w:val="000227D5"/>
    <w:rsid w:val="00024123"/>
    <w:rsid w:val="000245AA"/>
    <w:rsid w:val="000273A2"/>
    <w:rsid w:val="000305B0"/>
    <w:rsid w:val="0003664B"/>
    <w:rsid w:val="00040091"/>
    <w:rsid w:val="0004111F"/>
    <w:rsid w:val="0004593F"/>
    <w:rsid w:val="00053FD6"/>
    <w:rsid w:val="000549CB"/>
    <w:rsid w:val="00054D79"/>
    <w:rsid w:val="00055077"/>
    <w:rsid w:val="00055A7A"/>
    <w:rsid w:val="000565B3"/>
    <w:rsid w:val="00060D89"/>
    <w:rsid w:val="00062A07"/>
    <w:rsid w:val="000635C2"/>
    <w:rsid w:val="00065C43"/>
    <w:rsid w:val="0007150B"/>
    <w:rsid w:val="000734F6"/>
    <w:rsid w:val="00083FBF"/>
    <w:rsid w:val="00084588"/>
    <w:rsid w:val="00091189"/>
    <w:rsid w:val="000938F5"/>
    <w:rsid w:val="00095663"/>
    <w:rsid w:val="00096A0D"/>
    <w:rsid w:val="00096E55"/>
    <w:rsid w:val="0009783E"/>
    <w:rsid w:val="000A2664"/>
    <w:rsid w:val="000B1022"/>
    <w:rsid w:val="000B1C22"/>
    <w:rsid w:val="000B27BB"/>
    <w:rsid w:val="000B5680"/>
    <w:rsid w:val="000B5AFE"/>
    <w:rsid w:val="000B601B"/>
    <w:rsid w:val="000C05DC"/>
    <w:rsid w:val="000C0B75"/>
    <w:rsid w:val="000C207E"/>
    <w:rsid w:val="000C3AB6"/>
    <w:rsid w:val="000C3F59"/>
    <w:rsid w:val="000C7088"/>
    <w:rsid w:val="000C7D74"/>
    <w:rsid w:val="000D2B6C"/>
    <w:rsid w:val="000D41E9"/>
    <w:rsid w:val="000D6B92"/>
    <w:rsid w:val="000E78CF"/>
    <w:rsid w:val="000F0035"/>
    <w:rsid w:val="000F04E7"/>
    <w:rsid w:val="000F060A"/>
    <w:rsid w:val="000F420B"/>
    <w:rsid w:val="000F539C"/>
    <w:rsid w:val="000F68A7"/>
    <w:rsid w:val="001058D7"/>
    <w:rsid w:val="00105D19"/>
    <w:rsid w:val="00110116"/>
    <w:rsid w:val="00112B2C"/>
    <w:rsid w:val="00114329"/>
    <w:rsid w:val="001156E8"/>
    <w:rsid w:val="00115F9F"/>
    <w:rsid w:val="00120072"/>
    <w:rsid w:val="001200EB"/>
    <w:rsid w:val="00126EB8"/>
    <w:rsid w:val="001274D4"/>
    <w:rsid w:val="0012794D"/>
    <w:rsid w:val="001363AA"/>
    <w:rsid w:val="0013739A"/>
    <w:rsid w:val="00142165"/>
    <w:rsid w:val="001605E4"/>
    <w:rsid w:val="00162434"/>
    <w:rsid w:val="00162E7B"/>
    <w:rsid w:val="00166B3B"/>
    <w:rsid w:val="00166D72"/>
    <w:rsid w:val="00167B55"/>
    <w:rsid w:val="00177237"/>
    <w:rsid w:val="00180FA3"/>
    <w:rsid w:val="00183E82"/>
    <w:rsid w:val="001878BB"/>
    <w:rsid w:val="00191AE0"/>
    <w:rsid w:val="0019293B"/>
    <w:rsid w:val="001940EB"/>
    <w:rsid w:val="00194100"/>
    <w:rsid w:val="0019426B"/>
    <w:rsid w:val="0019479E"/>
    <w:rsid w:val="00195150"/>
    <w:rsid w:val="001A279F"/>
    <w:rsid w:val="001A6A4B"/>
    <w:rsid w:val="001C0865"/>
    <w:rsid w:val="001C0AED"/>
    <w:rsid w:val="001C0B07"/>
    <w:rsid w:val="001C24B4"/>
    <w:rsid w:val="001C3ABA"/>
    <w:rsid w:val="001C5111"/>
    <w:rsid w:val="001C54E8"/>
    <w:rsid w:val="001E523D"/>
    <w:rsid w:val="001E7BE8"/>
    <w:rsid w:val="001F0248"/>
    <w:rsid w:val="001F3EB3"/>
    <w:rsid w:val="001F4F86"/>
    <w:rsid w:val="001F66D6"/>
    <w:rsid w:val="00202AFA"/>
    <w:rsid w:val="00202C2C"/>
    <w:rsid w:val="00203050"/>
    <w:rsid w:val="00204049"/>
    <w:rsid w:val="00205130"/>
    <w:rsid w:val="002060E3"/>
    <w:rsid w:val="00206AEC"/>
    <w:rsid w:val="002135AB"/>
    <w:rsid w:val="002144BE"/>
    <w:rsid w:val="00220B88"/>
    <w:rsid w:val="002249D4"/>
    <w:rsid w:val="002320B8"/>
    <w:rsid w:val="00232C69"/>
    <w:rsid w:val="00241028"/>
    <w:rsid w:val="00242279"/>
    <w:rsid w:val="00243997"/>
    <w:rsid w:val="0024516C"/>
    <w:rsid w:val="00245428"/>
    <w:rsid w:val="00245C82"/>
    <w:rsid w:val="00252D80"/>
    <w:rsid w:val="00256D62"/>
    <w:rsid w:val="00257FAA"/>
    <w:rsid w:val="00261F8E"/>
    <w:rsid w:val="00264809"/>
    <w:rsid w:val="00265F7C"/>
    <w:rsid w:val="002724BA"/>
    <w:rsid w:val="00280B13"/>
    <w:rsid w:val="0028656D"/>
    <w:rsid w:val="00291B40"/>
    <w:rsid w:val="002927D5"/>
    <w:rsid w:val="00294F76"/>
    <w:rsid w:val="002A5081"/>
    <w:rsid w:val="002B350D"/>
    <w:rsid w:val="002B4008"/>
    <w:rsid w:val="002B5169"/>
    <w:rsid w:val="002B6FDC"/>
    <w:rsid w:val="002C2EB1"/>
    <w:rsid w:val="002C439F"/>
    <w:rsid w:val="002C44F1"/>
    <w:rsid w:val="002C5A8C"/>
    <w:rsid w:val="002C6BBC"/>
    <w:rsid w:val="002D0C42"/>
    <w:rsid w:val="002D0D00"/>
    <w:rsid w:val="002D0E8E"/>
    <w:rsid w:val="002D2834"/>
    <w:rsid w:val="002D7017"/>
    <w:rsid w:val="002D78D1"/>
    <w:rsid w:val="002E5455"/>
    <w:rsid w:val="002E57CE"/>
    <w:rsid w:val="002F694E"/>
    <w:rsid w:val="002F725B"/>
    <w:rsid w:val="00301189"/>
    <w:rsid w:val="00301433"/>
    <w:rsid w:val="00301E4A"/>
    <w:rsid w:val="00302005"/>
    <w:rsid w:val="00304CF1"/>
    <w:rsid w:val="0030789B"/>
    <w:rsid w:val="0031255D"/>
    <w:rsid w:val="003168B8"/>
    <w:rsid w:val="003211A2"/>
    <w:rsid w:val="00322D64"/>
    <w:rsid w:val="00323E09"/>
    <w:rsid w:val="00325E72"/>
    <w:rsid w:val="003323EC"/>
    <w:rsid w:val="00333932"/>
    <w:rsid w:val="003349B8"/>
    <w:rsid w:val="003376B0"/>
    <w:rsid w:val="00342EB1"/>
    <w:rsid w:val="0034592C"/>
    <w:rsid w:val="00347C0A"/>
    <w:rsid w:val="00350ED8"/>
    <w:rsid w:val="003518AA"/>
    <w:rsid w:val="00352165"/>
    <w:rsid w:val="00352F9A"/>
    <w:rsid w:val="00353182"/>
    <w:rsid w:val="00355FCF"/>
    <w:rsid w:val="003565D9"/>
    <w:rsid w:val="003602E1"/>
    <w:rsid w:val="00360576"/>
    <w:rsid w:val="00360973"/>
    <w:rsid w:val="00361EEF"/>
    <w:rsid w:val="00364CBB"/>
    <w:rsid w:val="00366783"/>
    <w:rsid w:val="00367FB9"/>
    <w:rsid w:val="0037026F"/>
    <w:rsid w:val="00371240"/>
    <w:rsid w:val="003715BB"/>
    <w:rsid w:val="00371971"/>
    <w:rsid w:val="00373852"/>
    <w:rsid w:val="00374573"/>
    <w:rsid w:val="00374731"/>
    <w:rsid w:val="0037524E"/>
    <w:rsid w:val="0037684D"/>
    <w:rsid w:val="00376E59"/>
    <w:rsid w:val="00377EC1"/>
    <w:rsid w:val="00380340"/>
    <w:rsid w:val="00383396"/>
    <w:rsid w:val="00384F0E"/>
    <w:rsid w:val="003919F9"/>
    <w:rsid w:val="003920CF"/>
    <w:rsid w:val="003950C5"/>
    <w:rsid w:val="003950E8"/>
    <w:rsid w:val="003A0BC4"/>
    <w:rsid w:val="003A3B23"/>
    <w:rsid w:val="003B1F66"/>
    <w:rsid w:val="003B23C2"/>
    <w:rsid w:val="003C170B"/>
    <w:rsid w:val="003C38B5"/>
    <w:rsid w:val="003C54B9"/>
    <w:rsid w:val="003C5D99"/>
    <w:rsid w:val="003C793B"/>
    <w:rsid w:val="003D09D1"/>
    <w:rsid w:val="003D0A46"/>
    <w:rsid w:val="003D1087"/>
    <w:rsid w:val="003D30F8"/>
    <w:rsid w:val="003D60E2"/>
    <w:rsid w:val="003E28A0"/>
    <w:rsid w:val="003E2F59"/>
    <w:rsid w:val="003E3170"/>
    <w:rsid w:val="003E746B"/>
    <w:rsid w:val="003F0789"/>
    <w:rsid w:val="003F12F9"/>
    <w:rsid w:val="00401882"/>
    <w:rsid w:val="00402B70"/>
    <w:rsid w:val="004100C8"/>
    <w:rsid w:val="0041145C"/>
    <w:rsid w:val="00411DBD"/>
    <w:rsid w:val="00412ACE"/>
    <w:rsid w:val="00412E71"/>
    <w:rsid w:val="00414467"/>
    <w:rsid w:val="004145D2"/>
    <w:rsid w:val="00425128"/>
    <w:rsid w:val="00426CB4"/>
    <w:rsid w:val="00431249"/>
    <w:rsid w:val="004320E3"/>
    <w:rsid w:val="004340CE"/>
    <w:rsid w:val="00434C19"/>
    <w:rsid w:val="004425C2"/>
    <w:rsid w:val="00450810"/>
    <w:rsid w:val="0045105D"/>
    <w:rsid w:val="00451F18"/>
    <w:rsid w:val="004549DB"/>
    <w:rsid w:val="00460F20"/>
    <w:rsid w:val="00462C59"/>
    <w:rsid w:val="00470737"/>
    <w:rsid w:val="00472593"/>
    <w:rsid w:val="00476318"/>
    <w:rsid w:val="00477144"/>
    <w:rsid w:val="00491380"/>
    <w:rsid w:val="0049459F"/>
    <w:rsid w:val="004948C8"/>
    <w:rsid w:val="004A17D4"/>
    <w:rsid w:val="004A21F0"/>
    <w:rsid w:val="004A38DD"/>
    <w:rsid w:val="004A42F7"/>
    <w:rsid w:val="004B2A15"/>
    <w:rsid w:val="004B43AE"/>
    <w:rsid w:val="004C2F3E"/>
    <w:rsid w:val="004C30ED"/>
    <w:rsid w:val="004C48F1"/>
    <w:rsid w:val="004C500A"/>
    <w:rsid w:val="004D3F25"/>
    <w:rsid w:val="004D5675"/>
    <w:rsid w:val="004E2BA9"/>
    <w:rsid w:val="004E4AB8"/>
    <w:rsid w:val="004F1E16"/>
    <w:rsid w:val="004F4F8B"/>
    <w:rsid w:val="00502AF4"/>
    <w:rsid w:val="00503901"/>
    <w:rsid w:val="00504673"/>
    <w:rsid w:val="005053AF"/>
    <w:rsid w:val="005110CF"/>
    <w:rsid w:val="0051306E"/>
    <w:rsid w:val="00516F8D"/>
    <w:rsid w:val="00517795"/>
    <w:rsid w:val="00523639"/>
    <w:rsid w:val="005264E1"/>
    <w:rsid w:val="00530E6A"/>
    <w:rsid w:val="00531FE5"/>
    <w:rsid w:val="0053393B"/>
    <w:rsid w:val="00536344"/>
    <w:rsid w:val="005402FA"/>
    <w:rsid w:val="00541E1A"/>
    <w:rsid w:val="0054226A"/>
    <w:rsid w:val="00550812"/>
    <w:rsid w:val="00552105"/>
    <w:rsid w:val="00557A0F"/>
    <w:rsid w:val="00560025"/>
    <w:rsid w:val="005608CF"/>
    <w:rsid w:val="0056118C"/>
    <w:rsid w:val="005704FB"/>
    <w:rsid w:val="005729BD"/>
    <w:rsid w:val="00573437"/>
    <w:rsid w:val="00573BE3"/>
    <w:rsid w:val="005763BA"/>
    <w:rsid w:val="00580154"/>
    <w:rsid w:val="00582D09"/>
    <w:rsid w:val="00583C39"/>
    <w:rsid w:val="00586A90"/>
    <w:rsid w:val="00587F28"/>
    <w:rsid w:val="005901DD"/>
    <w:rsid w:val="005909CF"/>
    <w:rsid w:val="005911FB"/>
    <w:rsid w:val="00591E71"/>
    <w:rsid w:val="0059240F"/>
    <w:rsid w:val="00592BFB"/>
    <w:rsid w:val="005A0D41"/>
    <w:rsid w:val="005A4864"/>
    <w:rsid w:val="005A7DCE"/>
    <w:rsid w:val="005B1110"/>
    <w:rsid w:val="005B2CBB"/>
    <w:rsid w:val="005C2E50"/>
    <w:rsid w:val="005C6319"/>
    <w:rsid w:val="005D20B8"/>
    <w:rsid w:val="005D329F"/>
    <w:rsid w:val="005D6510"/>
    <w:rsid w:val="005D6EF0"/>
    <w:rsid w:val="005E1E87"/>
    <w:rsid w:val="005E4403"/>
    <w:rsid w:val="005E594C"/>
    <w:rsid w:val="005E60A4"/>
    <w:rsid w:val="005F1C01"/>
    <w:rsid w:val="005F3E54"/>
    <w:rsid w:val="005F48ED"/>
    <w:rsid w:val="005F4E4F"/>
    <w:rsid w:val="00600C80"/>
    <w:rsid w:val="00604C4B"/>
    <w:rsid w:val="00605FE2"/>
    <w:rsid w:val="00606A9F"/>
    <w:rsid w:val="00606E78"/>
    <w:rsid w:val="00607436"/>
    <w:rsid w:val="00607BF1"/>
    <w:rsid w:val="00621132"/>
    <w:rsid w:val="00630D4D"/>
    <w:rsid w:val="00632A74"/>
    <w:rsid w:val="006331C4"/>
    <w:rsid w:val="00637177"/>
    <w:rsid w:val="00651016"/>
    <w:rsid w:val="00653281"/>
    <w:rsid w:val="006545E6"/>
    <w:rsid w:val="00654D42"/>
    <w:rsid w:val="00666E02"/>
    <w:rsid w:val="0069445A"/>
    <w:rsid w:val="0069668B"/>
    <w:rsid w:val="006A0004"/>
    <w:rsid w:val="006A057B"/>
    <w:rsid w:val="006A4655"/>
    <w:rsid w:val="006A7758"/>
    <w:rsid w:val="006B2B3C"/>
    <w:rsid w:val="006B42D5"/>
    <w:rsid w:val="006B4327"/>
    <w:rsid w:val="006B75F9"/>
    <w:rsid w:val="006B7883"/>
    <w:rsid w:val="006C1D81"/>
    <w:rsid w:val="006C7038"/>
    <w:rsid w:val="006D2614"/>
    <w:rsid w:val="006D2808"/>
    <w:rsid w:val="006E1A0B"/>
    <w:rsid w:val="006E3DA8"/>
    <w:rsid w:val="006E4353"/>
    <w:rsid w:val="006E73EF"/>
    <w:rsid w:val="006E7434"/>
    <w:rsid w:val="006F0AF7"/>
    <w:rsid w:val="006F2985"/>
    <w:rsid w:val="00702C89"/>
    <w:rsid w:val="00703D68"/>
    <w:rsid w:val="00704DCD"/>
    <w:rsid w:val="007079C9"/>
    <w:rsid w:val="00710B94"/>
    <w:rsid w:val="00714D4D"/>
    <w:rsid w:val="00715222"/>
    <w:rsid w:val="007172C6"/>
    <w:rsid w:val="007227BE"/>
    <w:rsid w:val="007266D3"/>
    <w:rsid w:val="00732029"/>
    <w:rsid w:val="00742D1C"/>
    <w:rsid w:val="00753ADF"/>
    <w:rsid w:val="00754C06"/>
    <w:rsid w:val="007602E9"/>
    <w:rsid w:val="007604BB"/>
    <w:rsid w:val="00762FC6"/>
    <w:rsid w:val="00763D8D"/>
    <w:rsid w:val="00766980"/>
    <w:rsid w:val="00772909"/>
    <w:rsid w:val="007747DC"/>
    <w:rsid w:val="0077682E"/>
    <w:rsid w:val="00777957"/>
    <w:rsid w:val="007801F8"/>
    <w:rsid w:val="0078418F"/>
    <w:rsid w:val="00785232"/>
    <w:rsid w:val="00791429"/>
    <w:rsid w:val="007950CA"/>
    <w:rsid w:val="00796B12"/>
    <w:rsid w:val="00796CD9"/>
    <w:rsid w:val="0079701E"/>
    <w:rsid w:val="007A1386"/>
    <w:rsid w:val="007A1940"/>
    <w:rsid w:val="007A21EB"/>
    <w:rsid w:val="007A428D"/>
    <w:rsid w:val="007B163D"/>
    <w:rsid w:val="007B1A93"/>
    <w:rsid w:val="007B2878"/>
    <w:rsid w:val="007B7519"/>
    <w:rsid w:val="007C36C9"/>
    <w:rsid w:val="007D5419"/>
    <w:rsid w:val="007D6401"/>
    <w:rsid w:val="007D6BA8"/>
    <w:rsid w:val="007E01E4"/>
    <w:rsid w:val="007E07BF"/>
    <w:rsid w:val="007E1A27"/>
    <w:rsid w:val="007E2F46"/>
    <w:rsid w:val="007E77A2"/>
    <w:rsid w:val="007E7A12"/>
    <w:rsid w:val="007F3A38"/>
    <w:rsid w:val="007F7107"/>
    <w:rsid w:val="00800D4C"/>
    <w:rsid w:val="00802326"/>
    <w:rsid w:val="008042A6"/>
    <w:rsid w:val="008100C3"/>
    <w:rsid w:val="0081030F"/>
    <w:rsid w:val="00812F4A"/>
    <w:rsid w:val="008142DA"/>
    <w:rsid w:val="0082087D"/>
    <w:rsid w:val="00825CAD"/>
    <w:rsid w:val="008275AF"/>
    <w:rsid w:val="008356EE"/>
    <w:rsid w:val="00835771"/>
    <w:rsid w:val="00842933"/>
    <w:rsid w:val="00845342"/>
    <w:rsid w:val="008465EF"/>
    <w:rsid w:val="0085171E"/>
    <w:rsid w:val="00853437"/>
    <w:rsid w:val="00853B3E"/>
    <w:rsid w:val="00853E9D"/>
    <w:rsid w:val="00856946"/>
    <w:rsid w:val="00856952"/>
    <w:rsid w:val="0086082C"/>
    <w:rsid w:val="0086382C"/>
    <w:rsid w:val="00864ADC"/>
    <w:rsid w:val="00870632"/>
    <w:rsid w:val="00873021"/>
    <w:rsid w:val="008753F9"/>
    <w:rsid w:val="00875B4A"/>
    <w:rsid w:val="00877151"/>
    <w:rsid w:val="008776BB"/>
    <w:rsid w:val="00880153"/>
    <w:rsid w:val="00880F97"/>
    <w:rsid w:val="0088133A"/>
    <w:rsid w:val="008836F5"/>
    <w:rsid w:val="0089285E"/>
    <w:rsid w:val="00892C0F"/>
    <w:rsid w:val="0089436C"/>
    <w:rsid w:val="0089490A"/>
    <w:rsid w:val="00895E10"/>
    <w:rsid w:val="008A0C29"/>
    <w:rsid w:val="008A57F3"/>
    <w:rsid w:val="008A5D66"/>
    <w:rsid w:val="008B2D25"/>
    <w:rsid w:val="008D365C"/>
    <w:rsid w:val="008D7120"/>
    <w:rsid w:val="008D7622"/>
    <w:rsid w:val="008E00D2"/>
    <w:rsid w:val="008E0D3A"/>
    <w:rsid w:val="008E245D"/>
    <w:rsid w:val="008F15BB"/>
    <w:rsid w:val="008F50D8"/>
    <w:rsid w:val="009021A6"/>
    <w:rsid w:val="00902648"/>
    <w:rsid w:val="009030BF"/>
    <w:rsid w:val="00903B52"/>
    <w:rsid w:val="0091032F"/>
    <w:rsid w:val="00911B99"/>
    <w:rsid w:val="00914368"/>
    <w:rsid w:val="009150D1"/>
    <w:rsid w:val="00915998"/>
    <w:rsid w:val="00931076"/>
    <w:rsid w:val="009345D9"/>
    <w:rsid w:val="00934B15"/>
    <w:rsid w:val="00940C87"/>
    <w:rsid w:val="009429BA"/>
    <w:rsid w:val="00942B62"/>
    <w:rsid w:val="00944839"/>
    <w:rsid w:val="0094614C"/>
    <w:rsid w:val="00950FE6"/>
    <w:rsid w:val="00952B03"/>
    <w:rsid w:val="0095323B"/>
    <w:rsid w:val="00956A0C"/>
    <w:rsid w:val="00956BD9"/>
    <w:rsid w:val="009618E1"/>
    <w:rsid w:val="00962489"/>
    <w:rsid w:val="0096473D"/>
    <w:rsid w:val="00967CD3"/>
    <w:rsid w:val="00970AAA"/>
    <w:rsid w:val="00982443"/>
    <w:rsid w:val="0098277E"/>
    <w:rsid w:val="00987BF5"/>
    <w:rsid w:val="00990C2C"/>
    <w:rsid w:val="00994AA7"/>
    <w:rsid w:val="009A5171"/>
    <w:rsid w:val="009A64A6"/>
    <w:rsid w:val="009B0A36"/>
    <w:rsid w:val="009C1C34"/>
    <w:rsid w:val="009C2B10"/>
    <w:rsid w:val="009C4505"/>
    <w:rsid w:val="009D09BD"/>
    <w:rsid w:val="009D2B85"/>
    <w:rsid w:val="009D3BBE"/>
    <w:rsid w:val="009D5023"/>
    <w:rsid w:val="009E0D8E"/>
    <w:rsid w:val="009E1844"/>
    <w:rsid w:val="009E1FE2"/>
    <w:rsid w:val="009E6D0C"/>
    <w:rsid w:val="009E6F57"/>
    <w:rsid w:val="009F0D1B"/>
    <w:rsid w:val="009F1620"/>
    <w:rsid w:val="009F53DD"/>
    <w:rsid w:val="009F5BBD"/>
    <w:rsid w:val="009F690A"/>
    <w:rsid w:val="009F696D"/>
    <w:rsid w:val="009F6BC6"/>
    <w:rsid w:val="009F74EF"/>
    <w:rsid w:val="00A02826"/>
    <w:rsid w:val="00A069CD"/>
    <w:rsid w:val="00A15D5A"/>
    <w:rsid w:val="00A16D87"/>
    <w:rsid w:val="00A17328"/>
    <w:rsid w:val="00A238F2"/>
    <w:rsid w:val="00A23A20"/>
    <w:rsid w:val="00A23DE0"/>
    <w:rsid w:val="00A24443"/>
    <w:rsid w:val="00A25E47"/>
    <w:rsid w:val="00A2646F"/>
    <w:rsid w:val="00A268B9"/>
    <w:rsid w:val="00A2703A"/>
    <w:rsid w:val="00A27C92"/>
    <w:rsid w:val="00A33262"/>
    <w:rsid w:val="00A33DFF"/>
    <w:rsid w:val="00A35115"/>
    <w:rsid w:val="00A36D9A"/>
    <w:rsid w:val="00A40FC1"/>
    <w:rsid w:val="00A41757"/>
    <w:rsid w:val="00A41A99"/>
    <w:rsid w:val="00A4311F"/>
    <w:rsid w:val="00A4323F"/>
    <w:rsid w:val="00A451DC"/>
    <w:rsid w:val="00A554AB"/>
    <w:rsid w:val="00A57062"/>
    <w:rsid w:val="00A61BB3"/>
    <w:rsid w:val="00A630E6"/>
    <w:rsid w:val="00A67704"/>
    <w:rsid w:val="00A67781"/>
    <w:rsid w:val="00A73132"/>
    <w:rsid w:val="00A761F9"/>
    <w:rsid w:val="00A83249"/>
    <w:rsid w:val="00A86A9B"/>
    <w:rsid w:val="00A9008E"/>
    <w:rsid w:val="00A92214"/>
    <w:rsid w:val="00A92B53"/>
    <w:rsid w:val="00A94FA6"/>
    <w:rsid w:val="00AA16BB"/>
    <w:rsid w:val="00AA30A3"/>
    <w:rsid w:val="00AA382F"/>
    <w:rsid w:val="00AA49A0"/>
    <w:rsid w:val="00AA6710"/>
    <w:rsid w:val="00AB0681"/>
    <w:rsid w:val="00AB1C99"/>
    <w:rsid w:val="00AB32AC"/>
    <w:rsid w:val="00AB435D"/>
    <w:rsid w:val="00AB64E9"/>
    <w:rsid w:val="00AC3A15"/>
    <w:rsid w:val="00AC4A63"/>
    <w:rsid w:val="00AC671A"/>
    <w:rsid w:val="00AD2DAC"/>
    <w:rsid w:val="00AD520B"/>
    <w:rsid w:val="00AE3BCC"/>
    <w:rsid w:val="00AE6710"/>
    <w:rsid w:val="00AF200A"/>
    <w:rsid w:val="00AF2204"/>
    <w:rsid w:val="00B149DE"/>
    <w:rsid w:val="00B22147"/>
    <w:rsid w:val="00B24A7E"/>
    <w:rsid w:val="00B258D4"/>
    <w:rsid w:val="00B35653"/>
    <w:rsid w:val="00B41AF7"/>
    <w:rsid w:val="00B425C3"/>
    <w:rsid w:val="00B4373D"/>
    <w:rsid w:val="00B440AD"/>
    <w:rsid w:val="00B45B9C"/>
    <w:rsid w:val="00B46B29"/>
    <w:rsid w:val="00B479BB"/>
    <w:rsid w:val="00B53276"/>
    <w:rsid w:val="00B53E7E"/>
    <w:rsid w:val="00B57AC0"/>
    <w:rsid w:val="00B611D1"/>
    <w:rsid w:val="00B61AD2"/>
    <w:rsid w:val="00B6342E"/>
    <w:rsid w:val="00B662CB"/>
    <w:rsid w:val="00B6716F"/>
    <w:rsid w:val="00B67571"/>
    <w:rsid w:val="00B7113F"/>
    <w:rsid w:val="00B84B90"/>
    <w:rsid w:val="00B97524"/>
    <w:rsid w:val="00B9789E"/>
    <w:rsid w:val="00BA2BCF"/>
    <w:rsid w:val="00BA5B14"/>
    <w:rsid w:val="00BA73B6"/>
    <w:rsid w:val="00BA7E27"/>
    <w:rsid w:val="00BB2603"/>
    <w:rsid w:val="00BB3712"/>
    <w:rsid w:val="00BB43D6"/>
    <w:rsid w:val="00BB4FCD"/>
    <w:rsid w:val="00BB6A11"/>
    <w:rsid w:val="00BC04E9"/>
    <w:rsid w:val="00BD13EA"/>
    <w:rsid w:val="00BD1B4D"/>
    <w:rsid w:val="00BD48EE"/>
    <w:rsid w:val="00BE3808"/>
    <w:rsid w:val="00BE7270"/>
    <w:rsid w:val="00BF3B70"/>
    <w:rsid w:val="00BF3FE0"/>
    <w:rsid w:val="00BF53A2"/>
    <w:rsid w:val="00C03B88"/>
    <w:rsid w:val="00C04EF7"/>
    <w:rsid w:val="00C058DC"/>
    <w:rsid w:val="00C062E9"/>
    <w:rsid w:val="00C069AA"/>
    <w:rsid w:val="00C07B64"/>
    <w:rsid w:val="00C13721"/>
    <w:rsid w:val="00C14FE4"/>
    <w:rsid w:val="00C208E6"/>
    <w:rsid w:val="00C3066D"/>
    <w:rsid w:val="00C42A35"/>
    <w:rsid w:val="00C453BB"/>
    <w:rsid w:val="00C47BFD"/>
    <w:rsid w:val="00C50027"/>
    <w:rsid w:val="00C50854"/>
    <w:rsid w:val="00C52416"/>
    <w:rsid w:val="00C52B8F"/>
    <w:rsid w:val="00C543F4"/>
    <w:rsid w:val="00C62719"/>
    <w:rsid w:val="00C6291C"/>
    <w:rsid w:val="00C633CB"/>
    <w:rsid w:val="00C664CD"/>
    <w:rsid w:val="00C736B7"/>
    <w:rsid w:val="00C74B49"/>
    <w:rsid w:val="00C81D4A"/>
    <w:rsid w:val="00C83EAC"/>
    <w:rsid w:val="00C86DED"/>
    <w:rsid w:val="00C8762C"/>
    <w:rsid w:val="00C91E70"/>
    <w:rsid w:val="00C937AA"/>
    <w:rsid w:val="00C941A6"/>
    <w:rsid w:val="00C9448F"/>
    <w:rsid w:val="00CA00F9"/>
    <w:rsid w:val="00CA2961"/>
    <w:rsid w:val="00CB50D7"/>
    <w:rsid w:val="00CB6174"/>
    <w:rsid w:val="00CB7177"/>
    <w:rsid w:val="00CB7CED"/>
    <w:rsid w:val="00CC070F"/>
    <w:rsid w:val="00CC08AB"/>
    <w:rsid w:val="00CC1998"/>
    <w:rsid w:val="00CC2C7D"/>
    <w:rsid w:val="00CC4946"/>
    <w:rsid w:val="00CC6114"/>
    <w:rsid w:val="00CC64A1"/>
    <w:rsid w:val="00CD26BC"/>
    <w:rsid w:val="00CE3936"/>
    <w:rsid w:val="00CF3B11"/>
    <w:rsid w:val="00CF47F6"/>
    <w:rsid w:val="00D021B3"/>
    <w:rsid w:val="00D1071E"/>
    <w:rsid w:val="00D10D21"/>
    <w:rsid w:val="00D110FB"/>
    <w:rsid w:val="00D20D8A"/>
    <w:rsid w:val="00D216A1"/>
    <w:rsid w:val="00D2695E"/>
    <w:rsid w:val="00D270A4"/>
    <w:rsid w:val="00D31FE9"/>
    <w:rsid w:val="00D34E1B"/>
    <w:rsid w:val="00D376BA"/>
    <w:rsid w:val="00D4039E"/>
    <w:rsid w:val="00D41EAB"/>
    <w:rsid w:val="00D430FD"/>
    <w:rsid w:val="00D434A0"/>
    <w:rsid w:val="00D45634"/>
    <w:rsid w:val="00D5568A"/>
    <w:rsid w:val="00D57CB1"/>
    <w:rsid w:val="00D57FB4"/>
    <w:rsid w:val="00D621A6"/>
    <w:rsid w:val="00D63D73"/>
    <w:rsid w:val="00D64452"/>
    <w:rsid w:val="00D666BC"/>
    <w:rsid w:val="00D66E1E"/>
    <w:rsid w:val="00D70513"/>
    <w:rsid w:val="00D70696"/>
    <w:rsid w:val="00D726B6"/>
    <w:rsid w:val="00D7406B"/>
    <w:rsid w:val="00D75722"/>
    <w:rsid w:val="00D75C46"/>
    <w:rsid w:val="00D80CF5"/>
    <w:rsid w:val="00D8142E"/>
    <w:rsid w:val="00D8398D"/>
    <w:rsid w:val="00D84C9F"/>
    <w:rsid w:val="00DA211C"/>
    <w:rsid w:val="00DA5BBA"/>
    <w:rsid w:val="00DB26D2"/>
    <w:rsid w:val="00DB656C"/>
    <w:rsid w:val="00DB67C9"/>
    <w:rsid w:val="00DB6A38"/>
    <w:rsid w:val="00DC0C95"/>
    <w:rsid w:val="00DC1B63"/>
    <w:rsid w:val="00DC2D10"/>
    <w:rsid w:val="00DC4F0B"/>
    <w:rsid w:val="00DC4F29"/>
    <w:rsid w:val="00DC6BE7"/>
    <w:rsid w:val="00DD03CC"/>
    <w:rsid w:val="00DD6580"/>
    <w:rsid w:val="00DD7012"/>
    <w:rsid w:val="00E01D7F"/>
    <w:rsid w:val="00E028AA"/>
    <w:rsid w:val="00E03588"/>
    <w:rsid w:val="00E05C03"/>
    <w:rsid w:val="00E12DE5"/>
    <w:rsid w:val="00E1363F"/>
    <w:rsid w:val="00E1687A"/>
    <w:rsid w:val="00E17C72"/>
    <w:rsid w:val="00E210C2"/>
    <w:rsid w:val="00E21FC6"/>
    <w:rsid w:val="00E24EB9"/>
    <w:rsid w:val="00E25DAD"/>
    <w:rsid w:val="00E27B20"/>
    <w:rsid w:val="00E30BA4"/>
    <w:rsid w:val="00E323E7"/>
    <w:rsid w:val="00E35D53"/>
    <w:rsid w:val="00E371A7"/>
    <w:rsid w:val="00E431A9"/>
    <w:rsid w:val="00E47E1E"/>
    <w:rsid w:val="00E51524"/>
    <w:rsid w:val="00E53002"/>
    <w:rsid w:val="00E56312"/>
    <w:rsid w:val="00E60CC8"/>
    <w:rsid w:val="00E617C2"/>
    <w:rsid w:val="00E61FED"/>
    <w:rsid w:val="00E64334"/>
    <w:rsid w:val="00E669E2"/>
    <w:rsid w:val="00E71D4B"/>
    <w:rsid w:val="00E75F92"/>
    <w:rsid w:val="00E76135"/>
    <w:rsid w:val="00E76AA2"/>
    <w:rsid w:val="00E80E88"/>
    <w:rsid w:val="00E81D96"/>
    <w:rsid w:val="00E82F4F"/>
    <w:rsid w:val="00E864DF"/>
    <w:rsid w:val="00E87000"/>
    <w:rsid w:val="00E9696D"/>
    <w:rsid w:val="00EA096C"/>
    <w:rsid w:val="00EA2D45"/>
    <w:rsid w:val="00EA4FFB"/>
    <w:rsid w:val="00EA5B0D"/>
    <w:rsid w:val="00EB025E"/>
    <w:rsid w:val="00EB1216"/>
    <w:rsid w:val="00EB234A"/>
    <w:rsid w:val="00EB2CC3"/>
    <w:rsid w:val="00EB378B"/>
    <w:rsid w:val="00EB4F51"/>
    <w:rsid w:val="00EC0F18"/>
    <w:rsid w:val="00EC2844"/>
    <w:rsid w:val="00EC52FD"/>
    <w:rsid w:val="00EC5307"/>
    <w:rsid w:val="00EC5500"/>
    <w:rsid w:val="00EC5B63"/>
    <w:rsid w:val="00ED18F8"/>
    <w:rsid w:val="00EE325B"/>
    <w:rsid w:val="00EE6EDA"/>
    <w:rsid w:val="00EE778E"/>
    <w:rsid w:val="00EF0530"/>
    <w:rsid w:val="00EF6719"/>
    <w:rsid w:val="00EF6C6C"/>
    <w:rsid w:val="00F056FC"/>
    <w:rsid w:val="00F0632F"/>
    <w:rsid w:val="00F069AE"/>
    <w:rsid w:val="00F10476"/>
    <w:rsid w:val="00F1203E"/>
    <w:rsid w:val="00F135D8"/>
    <w:rsid w:val="00F23046"/>
    <w:rsid w:val="00F231F4"/>
    <w:rsid w:val="00F31299"/>
    <w:rsid w:val="00F32E4A"/>
    <w:rsid w:val="00F3534A"/>
    <w:rsid w:val="00F35BFB"/>
    <w:rsid w:val="00F36ACC"/>
    <w:rsid w:val="00F41631"/>
    <w:rsid w:val="00F4536F"/>
    <w:rsid w:val="00F504FC"/>
    <w:rsid w:val="00F51609"/>
    <w:rsid w:val="00F53DC0"/>
    <w:rsid w:val="00F55C25"/>
    <w:rsid w:val="00F61D20"/>
    <w:rsid w:val="00F64520"/>
    <w:rsid w:val="00F73727"/>
    <w:rsid w:val="00F740D4"/>
    <w:rsid w:val="00F766A7"/>
    <w:rsid w:val="00F81006"/>
    <w:rsid w:val="00F84C92"/>
    <w:rsid w:val="00F85325"/>
    <w:rsid w:val="00F87648"/>
    <w:rsid w:val="00F90583"/>
    <w:rsid w:val="00F916DB"/>
    <w:rsid w:val="00F960D2"/>
    <w:rsid w:val="00FA6345"/>
    <w:rsid w:val="00FB42A1"/>
    <w:rsid w:val="00FB437A"/>
    <w:rsid w:val="00FC213C"/>
    <w:rsid w:val="00FD1DD1"/>
    <w:rsid w:val="00FD1E25"/>
    <w:rsid w:val="00FD22B1"/>
    <w:rsid w:val="00FD33F1"/>
    <w:rsid w:val="00FD3566"/>
    <w:rsid w:val="00FD437C"/>
    <w:rsid w:val="00FE2907"/>
    <w:rsid w:val="00FE3C71"/>
    <w:rsid w:val="00FE5397"/>
    <w:rsid w:val="00FF03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3A70B18E"/>
  <w15:docId w15:val="{188E7609-0F40-4EBA-AC17-4DFC67E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9058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006823"/>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00682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CommentTextChar">
    <w:name w:val="Comment Text Char"/>
    <w:basedOn w:val="DefaultParagraphFont"/>
    <w:link w:val="CommentText"/>
    <w:semiHidden/>
    <w:rsid w:val="00060D89"/>
    <w:rPr>
      <w:szCs w:val="24"/>
    </w:rPr>
  </w:style>
  <w:style w:type="paragraph" w:styleId="CommentSubject">
    <w:name w:val="annotation subject"/>
    <w:basedOn w:val="CommentText"/>
    <w:next w:val="CommentText"/>
    <w:link w:val="CommentSubjectChar"/>
    <w:semiHidden/>
    <w:unhideWhenUsed/>
    <w:rsid w:val="00E53002"/>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E53002"/>
    <w:rPr>
      <w:b/>
      <w:bCs/>
      <w:szCs w:val="24"/>
    </w:rPr>
  </w:style>
  <w:style w:type="character" w:customStyle="1" w:styleId="BoxListBulletChar">
    <w:name w:val="Box List Bullet Char"/>
    <w:basedOn w:val="DefaultParagraphFont"/>
    <w:link w:val="BoxListBullet"/>
    <w:rsid w:val="00E53002"/>
    <w:rPr>
      <w:rFonts w:ascii="Arial" w:hAnsi="Arial"/>
    </w:rPr>
  </w:style>
  <w:style w:type="character" w:customStyle="1" w:styleId="BoxChar">
    <w:name w:val="Box Char"/>
    <w:link w:val="Box"/>
    <w:rsid w:val="00E53002"/>
    <w:rPr>
      <w:rFonts w:ascii="Arial" w:hAnsi="Arial"/>
    </w:rPr>
  </w:style>
  <w:style w:type="paragraph" w:customStyle="1" w:styleId="TableParagraph">
    <w:name w:val="Table Paragraph"/>
    <w:basedOn w:val="Normal"/>
    <w:uiPriority w:val="1"/>
    <w:qFormat/>
    <w:rsid w:val="00F23046"/>
    <w:pPr>
      <w:widowControl w:val="0"/>
      <w:autoSpaceDE w:val="0"/>
      <w:autoSpaceDN w:val="0"/>
    </w:pPr>
    <w:rPr>
      <w:rFonts w:ascii="Arial" w:eastAsia="Arial" w:hAnsi="Arial" w:cs="Arial"/>
      <w:sz w:val="22"/>
      <w:szCs w:val="22"/>
      <w:lang w:bidi="en-AU"/>
    </w:rPr>
  </w:style>
  <w:style w:type="paragraph" w:styleId="ListParagraph">
    <w:name w:val="List Paragraph"/>
    <w:basedOn w:val="Normal"/>
    <w:uiPriority w:val="34"/>
    <w:qFormat/>
    <w:rsid w:val="00C04EF7"/>
    <w:pPr>
      <w:ind w:left="720"/>
    </w:pPr>
    <w:rPr>
      <w:rFonts w:ascii="Calibri" w:eastAsiaTheme="minorHAnsi" w:hAnsi="Calibri" w:cs="Calibri"/>
      <w:sz w:val="22"/>
      <w:szCs w:val="22"/>
      <w:lang w:eastAsia="en-US"/>
    </w:rPr>
  </w:style>
  <w:style w:type="paragraph" w:customStyle="1" w:styleId="Heading1NotTOC">
    <w:name w:val="Heading 1 Not TOC"/>
    <w:basedOn w:val="Heading1"/>
    <w:next w:val="BodyText"/>
    <w:rsid w:val="00536344"/>
    <w:rPr>
      <w:kern w:val="28"/>
      <w:szCs w:val="26"/>
      <w:lang w:eastAsia="en-US"/>
    </w:rPr>
  </w:style>
  <w:style w:type="paragraph" w:styleId="Revision">
    <w:name w:val="Revision"/>
    <w:hidden/>
    <w:uiPriority w:val="99"/>
    <w:semiHidden/>
    <w:rsid w:val="00FD1E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6737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unce\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569C2-9708-4B88-B257-32BE658F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47</TotalTime>
  <Pages>26</Pages>
  <Words>8852</Words>
  <Characters>49473</Characters>
  <Application>Microsoft Office Word</Application>
  <DocSecurity>0</DocSecurity>
  <Lines>1688</Lines>
  <Paragraphs>745</Paragraphs>
  <ScaleCrop>false</ScaleCrop>
  <HeadingPairs>
    <vt:vector size="2" baseType="variant">
      <vt:variant>
        <vt:lpstr>Title</vt:lpstr>
      </vt:variant>
      <vt:variant>
        <vt:i4>1</vt:i4>
      </vt:variant>
    </vt:vector>
  </HeadingPairs>
  <TitlesOfParts>
    <vt:vector size="1" baseType="lpstr">
      <vt:lpstr>Section 18 Housing interpretative material - Report on Government Services 202106</vt:lpstr>
    </vt:vector>
  </TitlesOfParts>
  <Company>Productivity Commission</Company>
  <LinksUpToDate>false</LinksUpToDate>
  <CharactersWithSpaces>57809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 Housing interpretative material - Report on Government Services 202106</dc:title>
  <dc:subject/>
  <dc:creator>Steering Committee for the Review of Government Service Provision</dc:creator>
  <cp:keywords/>
  <dc:description/>
  <cp:lastModifiedBy>Munce, Melissa</cp:lastModifiedBy>
  <cp:revision>15</cp:revision>
  <cp:lastPrinted>2021-03-31T10:13:00Z</cp:lastPrinted>
  <dcterms:created xsi:type="dcterms:W3CDTF">2021-04-27T07:04:00Z</dcterms:created>
  <dcterms:modified xsi:type="dcterms:W3CDTF">2021-05-05T04:07:00Z</dcterms:modified>
</cp:coreProperties>
</file>