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DCDF" w14:textId="3D5CD09D" w:rsidR="00A33DFF" w:rsidRDefault="00466311" w:rsidP="009F6CBC">
      <w:pPr>
        <w:pStyle w:val="Heading1"/>
        <w:spacing w:before="240"/>
      </w:pPr>
      <w:bookmarkStart w:id="0" w:name="_Toc21072037"/>
      <w:r>
        <w:t>6</w:t>
      </w:r>
      <w:r w:rsidR="00EB3C91">
        <w:tab/>
      </w:r>
      <w:bookmarkStart w:id="1" w:name="ChapterTitle"/>
      <w:r>
        <w:t xml:space="preserve">Police services </w:t>
      </w:r>
      <w:r w:rsidR="00EB3C91">
        <w:t>interpretative material</w:t>
      </w:r>
      <w:bookmarkEnd w:id="0"/>
      <w:bookmarkEnd w:id="1"/>
    </w:p>
    <w:bookmarkStart w:id="2" w:name="begin" w:displacedByCustomXml="next"/>
    <w:bookmarkEnd w:id="2" w:displacedByCustomXml="next"/>
    <w:sdt>
      <w:sdtPr>
        <w:rPr>
          <w:kern w:val="28"/>
          <w:sz w:val="52"/>
        </w:rPr>
        <w:id w:val="-713660776"/>
        <w:docPartObj>
          <w:docPartGallery w:val="Table of Contents"/>
          <w:docPartUnique/>
        </w:docPartObj>
      </w:sdtPr>
      <w:sdtEndPr>
        <w:rPr>
          <w:kern w:val="0"/>
          <w:sz w:val="26"/>
        </w:rPr>
      </w:sdtEndPr>
      <w:sdtContent>
        <w:p w14:paraId="15115D23" w14:textId="4500C188" w:rsidR="00B9476D" w:rsidRDefault="0003061B">
          <w:pPr>
            <w:pStyle w:val="TOC1"/>
            <w:rPr>
              <w:rFonts w:asciiTheme="minorHAnsi" w:eastAsiaTheme="minorEastAsia" w:hAnsiTheme="minorHAnsi" w:cstheme="minorBidi"/>
              <w:b w:val="0"/>
              <w:noProof/>
              <w:sz w:val="22"/>
              <w:szCs w:val="22"/>
              <w:lang w:eastAsia="en-AU"/>
            </w:rPr>
          </w:pPr>
          <w:r>
            <w:rPr>
              <w:noProof/>
            </w:rPr>
            <w:t>6</w:t>
          </w:r>
          <w:r w:rsidR="00B9476D">
            <w:rPr>
              <w:rFonts w:asciiTheme="minorHAnsi" w:eastAsiaTheme="minorEastAsia" w:hAnsiTheme="minorHAnsi" w:cstheme="minorBidi"/>
              <w:b w:val="0"/>
              <w:noProof/>
              <w:sz w:val="22"/>
              <w:szCs w:val="22"/>
              <w:lang w:eastAsia="en-AU"/>
            </w:rPr>
            <w:tab/>
          </w:r>
          <w:r w:rsidR="005E193D">
            <w:rPr>
              <w:noProof/>
            </w:rPr>
            <w:t>Police services</w:t>
          </w:r>
          <w:r w:rsidR="00B9476D">
            <w:rPr>
              <w:noProof/>
            </w:rPr>
            <w:t xml:space="preserve"> interpretative material</w:t>
          </w:r>
          <w:r w:rsidR="00B9476D">
            <w:rPr>
              <w:noProof/>
            </w:rPr>
            <w:tab/>
          </w:r>
          <w:r w:rsidR="005E193D">
            <w:rPr>
              <w:noProof/>
            </w:rPr>
            <w:t>6.</w:t>
          </w:r>
          <w:r w:rsidR="00E8631E">
            <w:rPr>
              <w:noProof/>
            </w:rPr>
            <w:t>1</w:t>
          </w:r>
        </w:p>
        <w:p w14:paraId="562EC096" w14:textId="3B90C220" w:rsidR="00B9476D" w:rsidRDefault="005E193D">
          <w:pPr>
            <w:pStyle w:val="TOC2"/>
            <w:rPr>
              <w:rFonts w:asciiTheme="minorHAnsi" w:eastAsiaTheme="minorEastAsia" w:hAnsiTheme="minorHAnsi" w:cstheme="minorBidi"/>
              <w:noProof/>
              <w:sz w:val="22"/>
              <w:szCs w:val="22"/>
              <w:lang w:eastAsia="en-AU"/>
            </w:rPr>
          </w:pPr>
          <w:r>
            <w:rPr>
              <w:noProof/>
            </w:rPr>
            <w:t>6.1 Indicators</w:t>
          </w:r>
          <w:r w:rsidR="00B9476D">
            <w:rPr>
              <w:noProof/>
            </w:rPr>
            <w:tab/>
          </w:r>
          <w:r>
            <w:rPr>
              <w:noProof/>
            </w:rPr>
            <w:t>6.</w:t>
          </w:r>
          <w:r w:rsidR="00E8631E">
            <w:rPr>
              <w:noProof/>
            </w:rPr>
            <w:t>2</w:t>
          </w:r>
        </w:p>
        <w:p w14:paraId="23157B7A" w14:textId="02842DDA" w:rsidR="00B9476D" w:rsidRDefault="00B9476D">
          <w:pPr>
            <w:pStyle w:val="TOC3"/>
            <w:rPr>
              <w:rFonts w:asciiTheme="minorHAnsi" w:eastAsiaTheme="minorEastAsia" w:hAnsiTheme="minorHAnsi" w:cstheme="minorBidi"/>
              <w:noProof/>
              <w:sz w:val="22"/>
              <w:szCs w:val="22"/>
              <w:lang w:eastAsia="en-AU"/>
            </w:rPr>
          </w:pPr>
          <w:r>
            <w:rPr>
              <w:noProof/>
            </w:rPr>
            <w:t>Outputs</w:t>
          </w:r>
          <w:r>
            <w:rPr>
              <w:noProof/>
            </w:rPr>
            <w:tab/>
          </w:r>
          <w:r w:rsidR="005E193D">
            <w:rPr>
              <w:noProof/>
            </w:rPr>
            <w:t>6.2</w:t>
          </w:r>
        </w:p>
        <w:p w14:paraId="0A2EBA29" w14:textId="29A5D4D4" w:rsidR="00B9476D" w:rsidRDefault="00B9476D">
          <w:pPr>
            <w:pStyle w:val="TOC3"/>
            <w:rPr>
              <w:rFonts w:asciiTheme="minorHAnsi" w:eastAsiaTheme="minorEastAsia" w:hAnsiTheme="minorHAnsi" w:cstheme="minorBidi"/>
              <w:noProof/>
              <w:sz w:val="22"/>
              <w:szCs w:val="22"/>
              <w:lang w:eastAsia="en-AU"/>
            </w:rPr>
          </w:pPr>
          <w:r>
            <w:rPr>
              <w:noProof/>
            </w:rPr>
            <w:t>Equity</w:t>
          </w:r>
          <w:r>
            <w:rPr>
              <w:noProof/>
            </w:rPr>
            <w:tab/>
          </w:r>
          <w:r w:rsidR="005E193D">
            <w:rPr>
              <w:noProof/>
            </w:rPr>
            <w:t>6.2</w:t>
          </w:r>
        </w:p>
        <w:p w14:paraId="0F554CBD" w14:textId="0C873FBD" w:rsidR="00864932" w:rsidRDefault="00864932" w:rsidP="00864932">
          <w:pPr>
            <w:pStyle w:val="TOC4"/>
            <w:rPr>
              <w:noProof/>
            </w:rPr>
          </w:pPr>
          <w:r>
            <w:rPr>
              <w:noProof/>
            </w:rPr>
            <w:t>Aboriginal and Torres Strait Islander staffing</w:t>
          </w:r>
          <w:r>
            <w:rPr>
              <w:noProof/>
            </w:rPr>
            <w:tab/>
            <w:t>6.</w:t>
          </w:r>
          <w:r w:rsidR="00062974">
            <w:rPr>
              <w:noProof/>
            </w:rPr>
            <w:t>2</w:t>
          </w:r>
        </w:p>
        <w:p w14:paraId="397F8733" w14:textId="3EC34909" w:rsidR="00864932" w:rsidRDefault="00621715" w:rsidP="00864932">
          <w:pPr>
            <w:pStyle w:val="TOC4"/>
            <w:rPr>
              <w:noProof/>
            </w:rPr>
          </w:pPr>
          <w:r>
            <w:rPr>
              <w:noProof/>
            </w:rPr>
            <w:t xml:space="preserve">Staffing by gender </w:t>
          </w:r>
          <w:r w:rsidR="00864932">
            <w:rPr>
              <w:noProof/>
            </w:rPr>
            <w:tab/>
            <w:t>6.</w:t>
          </w:r>
          <w:r w:rsidR="003735DC">
            <w:rPr>
              <w:noProof/>
            </w:rPr>
            <w:t>3</w:t>
          </w:r>
        </w:p>
        <w:p w14:paraId="01280EA3" w14:textId="435E2D2F" w:rsidR="00B9476D" w:rsidRDefault="00B9476D">
          <w:pPr>
            <w:pStyle w:val="TOC3"/>
            <w:rPr>
              <w:rFonts w:asciiTheme="minorHAnsi" w:eastAsiaTheme="minorEastAsia" w:hAnsiTheme="minorHAnsi" w:cstheme="minorBidi"/>
              <w:noProof/>
              <w:sz w:val="22"/>
              <w:szCs w:val="22"/>
              <w:lang w:eastAsia="en-AU"/>
            </w:rPr>
          </w:pPr>
          <w:r>
            <w:rPr>
              <w:noProof/>
            </w:rPr>
            <w:t>Effectiveness</w:t>
          </w:r>
          <w:r>
            <w:rPr>
              <w:noProof/>
            </w:rPr>
            <w:tab/>
          </w:r>
          <w:r w:rsidR="001307CD">
            <w:rPr>
              <w:noProof/>
            </w:rPr>
            <w:t>6.4</w:t>
          </w:r>
        </w:p>
        <w:p w14:paraId="78C62B26" w14:textId="62F09CC0" w:rsidR="00B9476D" w:rsidRDefault="005E193D">
          <w:pPr>
            <w:pStyle w:val="TOC4"/>
            <w:rPr>
              <w:rFonts w:asciiTheme="minorHAnsi" w:eastAsiaTheme="minorEastAsia" w:hAnsiTheme="minorHAnsi" w:cstheme="minorBidi"/>
              <w:noProof/>
              <w:sz w:val="22"/>
              <w:szCs w:val="22"/>
              <w:lang w:eastAsia="en-AU"/>
            </w:rPr>
          </w:pPr>
          <w:r>
            <w:rPr>
              <w:noProof/>
            </w:rPr>
            <w:t>Road safety</w:t>
          </w:r>
          <w:r w:rsidR="00B9476D">
            <w:rPr>
              <w:noProof/>
            </w:rPr>
            <w:tab/>
          </w:r>
          <w:r w:rsidR="001307CD">
            <w:rPr>
              <w:noProof/>
            </w:rPr>
            <w:t>6.4</w:t>
          </w:r>
        </w:p>
        <w:p w14:paraId="657249E3" w14:textId="645F15D2" w:rsidR="00B9476D" w:rsidRDefault="001307CD" w:rsidP="001B135B">
          <w:pPr>
            <w:pStyle w:val="TOC4"/>
            <w:tabs>
              <w:tab w:val="left" w:pos="6375"/>
            </w:tabs>
            <w:rPr>
              <w:rFonts w:asciiTheme="minorHAnsi" w:eastAsiaTheme="minorEastAsia" w:hAnsiTheme="minorHAnsi" w:cstheme="minorBidi"/>
              <w:noProof/>
              <w:sz w:val="22"/>
              <w:szCs w:val="22"/>
              <w:lang w:eastAsia="en-AU"/>
            </w:rPr>
          </w:pPr>
          <w:r>
            <w:rPr>
              <w:noProof/>
            </w:rPr>
            <w:t>Deaths in police custody</w:t>
          </w:r>
          <w:r w:rsidR="00B9476D">
            <w:rPr>
              <w:noProof/>
            </w:rPr>
            <w:tab/>
          </w:r>
          <w:r w:rsidR="001B135B">
            <w:rPr>
              <w:noProof/>
            </w:rPr>
            <w:tab/>
          </w:r>
          <w:r>
            <w:rPr>
              <w:noProof/>
            </w:rPr>
            <w:t>6.</w:t>
          </w:r>
          <w:r w:rsidR="005E1520">
            <w:rPr>
              <w:noProof/>
            </w:rPr>
            <w:t>5</w:t>
          </w:r>
        </w:p>
        <w:p w14:paraId="6C898339" w14:textId="271B50EF" w:rsidR="00B9476D" w:rsidRDefault="001307CD">
          <w:pPr>
            <w:pStyle w:val="TOC4"/>
            <w:rPr>
              <w:rFonts w:asciiTheme="minorHAnsi" w:eastAsiaTheme="minorEastAsia" w:hAnsiTheme="minorHAnsi" w:cstheme="minorBidi"/>
              <w:noProof/>
              <w:sz w:val="22"/>
              <w:szCs w:val="22"/>
              <w:lang w:eastAsia="en-AU"/>
            </w:rPr>
          </w:pPr>
          <w:r>
            <w:rPr>
              <w:noProof/>
            </w:rPr>
            <w:t>Magistrates</w:t>
          </w:r>
          <w:r w:rsidR="001B135B">
            <w:rPr>
              <w:noProof/>
            </w:rPr>
            <w:t>’</w:t>
          </w:r>
          <w:r>
            <w:rPr>
              <w:noProof/>
            </w:rPr>
            <w:t xml:space="preserve"> court </w:t>
          </w:r>
          <w:r w:rsidR="001B135B">
            <w:rPr>
              <w:noProof/>
            </w:rPr>
            <w:t>decisions</w:t>
          </w:r>
          <w:r>
            <w:rPr>
              <w:noProof/>
            </w:rPr>
            <w:t xml:space="preserve"> resulting in a guilty </w:t>
          </w:r>
          <w:r w:rsidR="001B135B">
            <w:rPr>
              <w:noProof/>
            </w:rPr>
            <w:t>outcome for defendants</w:t>
          </w:r>
          <w:r w:rsidR="00B9476D">
            <w:rPr>
              <w:noProof/>
            </w:rPr>
            <w:tab/>
          </w:r>
          <w:r>
            <w:rPr>
              <w:noProof/>
            </w:rPr>
            <w:t>6.</w:t>
          </w:r>
          <w:r w:rsidR="007324C4">
            <w:rPr>
              <w:noProof/>
            </w:rPr>
            <w:t>6</w:t>
          </w:r>
        </w:p>
        <w:p w14:paraId="727C01EA" w14:textId="627211AC" w:rsidR="00B9476D" w:rsidRDefault="001307CD">
          <w:pPr>
            <w:pStyle w:val="TOC4"/>
            <w:rPr>
              <w:rFonts w:asciiTheme="minorHAnsi" w:eastAsiaTheme="minorEastAsia" w:hAnsiTheme="minorHAnsi" w:cstheme="minorBidi"/>
              <w:noProof/>
              <w:sz w:val="22"/>
              <w:szCs w:val="22"/>
              <w:lang w:eastAsia="en-AU"/>
            </w:rPr>
          </w:pPr>
          <w:r>
            <w:rPr>
              <w:noProof/>
            </w:rPr>
            <w:t xml:space="preserve">Satisfaction with police services </w:t>
          </w:r>
          <w:r w:rsidR="00B9476D">
            <w:rPr>
              <w:noProof/>
            </w:rPr>
            <w:tab/>
          </w:r>
          <w:r>
            <w:rPr>
              <w:noProof/>
            </w:rPr>
            <w:t>6.</w:t>
          </w:r>
          <w:r w:rsidR="002F54C0">
            <w:rPr>
              <w:noProof/>
            </w:rPr>
            <w:t>6</w:t>
          </w:r>
        </w:p>
        <w:p w14:paraId="1A62508B" w14:textId="6A27FF55" w:rsidR="00B9476D" w:rsidRDefault="001307CD">
          <w:pPr>
            <w:pStyle w:val="TOC4"/>
            <w:rPr>
              <w:rFonts w:asciiTheme="minorHAnsi" w:eastAsiaTheme="minorEastAsia" w:hAnsiTheme="minorHAnsi" w:cstheme="minorBidi"/>
              <w:noProof/>
              <w:sz w:val="22"/>
              <w:szCs w:val="22"/>
              <w:lang w:eastAsia="en-AU"/>
            </w:rPr>
          </w:pPr>
          <w:r>
            <w:rPr>
              <w:noProof/>
            </w:rPr>
            <w:t xml:space="preserve">Perceptions of police integrity </w:t>
          </w:r>
          <w:r w:rsidR="00B9476D">
            <w:rPr>
              <w:noProof/>
            </w:rPr>
            <w:tab/>
          </w:r>
          <w:r>
            <w:rPr>
              <w:noProof/>
            </w:rPr>
            <w:t>6.</w:t>
          </w:r>
          <w:r w:rsidR="002F54C0">
            <w:rPr>
              <w:noProof/>
            </w:rPr>
            <w:t>7</w:t>
          </w:r>
        </w:p>
        <w:p w14:paraId="48B89294" w14:textId="64AF337E" w:rsidR="00B9476D" w:rsidRDefault="001708C1">
          <w:pPr>
            <w:pStyle w:val="TOC4"/>
            <w:rPr>
              <w:rFonts w:asciiTheme="minorHAnsi" w:eastAsiaTheme="minorEastAsia" w:hAnsiTheme="minorHAnsi" w:cstheme="minorBidi"/>
              <w:noProof/>
              <w:sz w:val="22"/>
              <w:szCs w:val="22"/>
              <w:lang w:eastAsia="en-AU"/>
            </w:rPr>
          </w:pPr>
          <w:r>
            <w:rPr>
              <w:noProof/>
            </w:rPr>
            <w:t xml:space="preserve">Complaints </w:t>
          </w:r>
          <w:r w:rsidR="00B9476D">
            <w:rPr>
              <w:noProof/>
            </w:rPr>
            <w:tab/>
          </w:r>
          <w:r>
            <w:rPr>
              <w:noProof/>
            </w:rPr>
            <w:t>6.</w:t>
          </w:r>
          <w:r w:rsidR="002F54C0">
            <w:rPr>
              <w:noProof/>
            </w:rPr>
            <w:t>8</w:t>
          </w:r>
        </w:p>
        <w:p w14:paraId="6BDC0670" w14:textId="13DECC68" w:rsidR="00B9476D" w:rsidRDefault="001708C1">
          <w:pPr>
            <w:pStyle w:val="TOC4"/>
            <w:rPr>
              <w:rFonts w:asciiTheme="minorHAnsi" w:eastAsiaTheme="minorEastAsia" w:hAnsiTheme="minorHAnsi" w:cstheme="minorBidi"/>
              <w:noProof/>
              <w:sz w:val="22"/>
              <w:szCs w:val="22"/>
              <w:lang w:eastAsia="en-AU"/>
            </w:rPr>
          </w:pPr>
          <w:r>
            <w:rPr>
              <w:noProof/>
            </w:rPr>
            <w:t xml:space="preserve">Youth diversions </w:t>
          </w:r>
          <w:r w:rsidR="00B9476D">
            <w:rPr>
              <w:noProof/>
            </w:rPr>
            <w:tab/>
          </w:r>
          <w:r>
            <w:rPr>
              <w:noProof/>
            </w:rPr>
            <w:t>6.</w:t>
          </w:r>
          <w:r w:rsidR="002F54C0">
            <w:rPr>
              <w:noProof/>
            </w:rPr>
            <w:t>9</w:t>
          </w:r>
        </w:p>
        <w:p w14:paraId="72EFEC3F" w14:textId="702DD89F" w:rsidR="00B9476D" w:rsidRDefault="001708C1">
          <w:pPr>
            <w:pStyle w:val="TOC4"/>
            <w:rPr>
              <w:noProof/>
            </w:rPr>
          </w:pPr>
          <w:r>
            <w:rPr>
              <w:noProof/>
            </w:rPr>
            <w:t>Outcome of investigations</w:t>
          </w:r>
          <w:r w:rsidR="00B9476D">
            <w:rPr>
              <w:noProof/>
            </w:rPr>
            <w:tab/>
          </w:r>
          <w:r w:rsidR="007B19F2">
            <w:rPr>
              <w:noProof/>
            </w:rPr>
            <w:t>6.</w:t>
          </w:r>
          <w:r w:rsidR="007324C4">
            <w:rPr>
              <w:noProof/>
            </w:rPr>
            <w:t>1</w:t>
          </w:r>
          <w:r w:rsidR="002F54C0">
            <w:rPr>
              <w:noProof/>
            </w:rPr>
            <w:t>0</w:t>
          </w:r>
        </w:p>
        <w:p w14:paraId="79472CF0" w14:textId="02E539DC" w:rsidR="00B9476D" w:rsidRDefault="00B9476D">
          <w:pPr>
            <w:pStyle w:val="TOC3"/>
            <w:rPr>
              <w:rFonts w:asciiTheme="minorHAnsi" w:eastAsiaTheme="minorEastAsia" w:hAnsiTheme="minorHAnsi" w:cstheme="minorBidi"/>
              <w:noProof/>
              <w:sz w:val="22"/>
              <w:szCs w:val="22"/>
              <w:lang w:eastAsia="en-AU"/>
            </w:rPr>
          </w:pPr>
          <w:r>
            <w:rPr>
              <w:noProof/>
            </w:rPr>
            <w:t>Efficiency</w:t>
          </w:r>
          <w:r>
            <w:rPr>
              <w:noProof/>
            </w:rPr>
            <w:tab/>
          </w:r>
          <w:r w:rsidR="007B19F2">
            <w:rPr>
              <w:noProof/>
            </w:rPr>
            <w:t>6.</w:t>
          </w:r>
          <w:r w:rsidR="008E2203">
            <w:rPr>
              <w:noProof/>
            </w:rPr>
            <w:t>1</w:t>
          </w:r>
          <w:r w:rsidR="002F54C0">
            <w:rPr>
              <w:noProof/>
            </w:rPr>
            <w:t>1</w:t>
          </w:r>
        </w:p>
        <w:p w14:paraId="3A93DD5D" w14:textId="48BCAAE5" w:rsidR="00B9476D" w:rsidRDefault="007B19F2">
          <w:pPr>
            <w:pStyle w:val="TOC4"/>
            <w:rPr>
              <w:rFonts w:asciiTheme="minorHAnsi" w:eastAsiaTheme="minorEastAsia" w:hAnsiTheme="minorHAnsi" w:cstheme="minorBidi"/>
              <w:noProof/>
              <w:sz w:val="22"/>
              <w:szCs w:val="22"/>
              <w:lang w:eastAsia="en-AU"/>
            </w:rPr>
          </w:pPr>
          <w:r>
            <w:rPr>
              <w:noProof/>
            </w:rPr>
            <w:t xml:space="preserve">Expenditure per person </w:t>
          </w:r>
          <w:r w:rsidR="00B9476D">
            <w:rPr>
              <w:noProof/>
            </w:rPr>
            <w:tab/>
          </w:r>
          <w:r>
            <w:rPr>
              <w:noProof/>
            </w:rPr>
            <w:t>6.</w:t>
          </w:r>
          <w:r w:rsidR="008E2203">
            <w:rPr>
              <w:noProof/>
            </w:rPr>
            <w:t>1</w:t>
          </w:r>
          <w:r w:rsidR="002F54C0">
            <w:rPr>
              <w:noProof/>
            </w:rPr>
            <w:t>1</w:t>
          </w:r>
        </w:p>
        <w:p w14:paraId="559FFB19" w14:textId="374D1C8B" w:rsidR="00B9476D" w:rsidRDefault="00B9476D">
          <w:pPr>
            <w:pStyle w:val="TOC3"/>
            <w:rPr>
              <w:rFonts w:asciiTheme="minorHAnsi" w:eastAsiaTheme="minorEastAsia" w:hAnsiTheme="minorHAnsi" w:cstheme="minorBidi"/>
              <w:noProof/>
              <w:sz w:val="22"/>
              <w:szCs w:val="22"/>
              <w:lang w:eastAsia="en-AU"/>
            </w:rPr>
          </w:pPr>
          <w:r>
            <w:rPr>
              <w:noProof/>
            </w:rPr>
            <w:t>Outcomes</w:t>
          </w:r>
          <w:r>
            <w:rPr>
              <w:noProof/>
            </w:rPr>
            <w:tab/>
          </w:r>
          <w:r w:rsidR="00141DEC">
            <w:rPr>
              <w:noProof/>
            </w:rPr>
            <w:t>6.1</w:t>
          </w:r>
          <w:r w:rsidR="002F54C0">
            <w:rPr>
              <w:noProof/>
            </w:rPr>
            <w:t>1</w:t>
          </w:r>
        </w:p>
        <w:p w14:paraId="7570BE67" w14:textId="6CCF5CA9" w:rsidR="00B9476D" w:rsidRDefault="00B9476D">
          <w:pPr>
            <w:pStyle w:val="TOC4"/>
            <w:rPr>
              <w:rFonts w:asciiTheme="minorHAnsi" w:eastAsiaTheme="minorEastAsia" w:hAnsiTheme="minorHAnsi" w:cstheme="minorBidi"/>
              <w:noProof/>
              <w:sz w:val="22"/>
              <w:szCs w:val="22"/>
              <w:lang w:eastAsia="en-AU"/>
            </w:rPr>
          </w:pPr>
          <w:r>
            <w:rPr>
              <w:noProof/>
            </w:rPr>
            <w:t>C</w:t>
          </w:r>
          <w:r w:rsidR="00141DEC">
            <w:rPr>
              <w:noProof/>
            </w:rPr>
            <w:t xml:space="preserve">rime victimisation </w:t>
          </w:r>
          <w:r>
            <w:rPr>
              <w:noProof/>
            </w:rPr>
            <w:tab/>
          </w:r>
          <w:r w:rsidR="00141DEC">
            <w:rPr>
              <w:noProof/>
            </w:rPr>
            <w:t>6.1</w:t>
          </w:r>
          <w:r w:rsidR="002F54C0">
            <w:rPr>
              <w:noProof/>
            </w:rPr>
            <w:t>1</w:t>
          </w:r>
        </w:p>
        <w:p w14:paraId="01456AD6" w14:textId="4FAA7E85" w:rsidR="00B9476D" w:rsidRDefault="00FA3A21">
          <w:pPr>
            <w:pStyle w:val="TOC4"/>
            <w:rPr>
              <w:noProof/>
            </w:rPr>
          </w:pPr>
          <w:r>
            <w:rPr>
              <w:noProof/>
            </w:rPr>
            <w:t xml:space="preserve">Perceptions of safety </w:t>
          </w:r>
          <w:r w:rsidR="00B9476D">
            <w:rPr>
              <w:noProof/>
            </w:rPr>
            <w:tab/>
          </w:r>
          <w:r>
            <w:rPr>
              <w:noProof/>
            </w:rPr>
            <w:t>6.1</w:t>
          </w:r>
          <w:r w:rsidR="002F54C0">
            <w:rPr>
              <w:noProof/>
            </w:rPr>
            <w:t>2</w:t>
          </w:r>
        </w:p>
        <w:p w14:paraId="55925CDA" w14:textId="44EF9F47" w:rsidR="00FA3A21" w:rsidRDefault="00FA3A21">
          <w:pPr>
            <w:pStyle w:val="TOC4"/>
            <w:rPr>
              <w:noProof/>
            </w:rPr>
          </w:pPr>
          <w:r>
            <w:rPr>
              <w:noProof/>
            </w:rPr>
            <w:t>Perceptions of crime problems</w:t>
          </w:r>
          <w:r>
            <w:rPr>
              <w:noProof/>
            </w:rPr>
            <w:tab/>
            <w:t>6.1</w:t>
          </w:r>
          <w:r w:rsidR="002F54C0">
            <w:rPr>
              <w:noProof/>
            </w:rPr>
            <w:t>3</w:t>
          </w:r>
        </w:p>
        <w:p w14:paraId="5D7271CF" w14:textId="77FB7FE7" w:rsidR="00FA3A21" w:rsidRDefault="00FA3A21">
          <w:pPr>
            <w:pStyle w:val="TOC4"/>
            <w:rPr>
              <w:rFonts w:asciiTheme="minorHAnsi" w:eastAsiaTheme="minorEastAsia" w:hAnsiTheme="minorHAnsi" w:cstheme="minorBidi"/>
              <w:noProof/>
              <w:sz w:val="22"/>
              <w:szCs w:val="22"/>
              <w:lang w:eastAsia="en-AU"/>
            </w:rPr>
          </w:pPr>
          <w:r>
            <w:rPr>
              <w:noProof/>
            </w:rPr>
            <w:t xml:space="preserve">Road deaths </w:t>
          </w:r>
          <w:r>
            <w:rPr>
              <w:noProof/>
            </w:rPr>
            <w:tab/>
            <w:t>6.1</w:t>
          </w:r>
          <w:r w:rsidR="00456726">
            <w:rPr>
              <w:noProof/>
            </w:rPr>
            <w:t>3</w:t>
          </w:r>
        </w:p>
        <w:p w14:paraId="5F203921" w14:textId="031F4DCF" w:rsidR="00B9476D" w:rsidRDefault="00FA3A21">
          <w:pPr>
            <w:pStyle w:val="TOC2"/>
            <w:rPr>
              <w:noProof/>
            </w:rPr>
          </w:pPr>
          <w:r>
            <w:rPr>
              <w:noProof/>
            </w:rPr>
            <w:t>6.2 Treatment of assets by police agencies</w:t>
          </w:r>
          <w:r w:rsidR="00B9476D">
            <w:rPr>
              <w:noProof/>
            </w:rPr>
            <w:tab/>
          </w:r>
          <w:r>
            <w:rPr>
              <w:noProof/>
            </w:rPr>
            <w:t>6.1</w:t>
          </w:r>
          <w:r w:rsidR="005565E9">
            <w:rPr>
              <w:noProof/>
            </w:rPr>
            <w:t>4</w:t>
          </w:r>
        </w:p>
        <w:p w14:paraId="475190F0" w14:textId="7C688D20" w:rsidR="00CF12BC" w:rsidRDefault="00CF12BC" w:rsidP="00CF12BC">
          <w:pPr>
            <w:pStyle w:val="TOC2"/>
            <w:rPr>
              <w:rFonts w:asciiTheme="minorHAnsi" w:eastAsiaTheme="minorEastAsia" w:hAnsiTheme="minorHAnsi" w:cstheme="minorBidi"/>
              <w:noProof/>
              <w:sz w:val="22"/>
              <w:szCs w:val="22"/>
              <w:lang w:eastAsia="en-AU"/>
            </w:rPr>
          </w:pPr>
          <w:r>
            <w:rPr>
              <w:noProof/>
            </w:rPr>
            <w:t xml:space="preserve">6.3 Definitions of key terms </w:t>
          </w:r>
          <w:r>
            <w:rPr>
              <w:noProof/>
            </w:rPr>
            <w:tab/>
            <w:t>6.1</w:t>
          </w:r>
          <w:r w:rsidR="005565E9">
            <w:rPr>
              <w:noProof/>
            </w:rPr>
            <w:t>6</w:t>
          </w:r>
        </w:p>
        <w:p w14:paraId="723C9954" w14:textId="56D859FA" w:rsidR="00B9476D" w:rsidRDefault="00F55547" w:rsidP="004679B7">
          <w:pPr>
            <w:pStyle w:val="TOC1"/>
            <w:ind w:left="0" w:firstLine="0"/>
          </w:pPr>
        </w:p>
      </w:sdtContent>
    </w:sdt>
    <w:p w14:paraId="19D317DD" w14:textId="77777777" w:rsidR="004B2A15" w:rsidRDefault="00C277BC" w:rsidP="004B2A15">
      <w:pPr>
        <w:pStyle w:val="BodyText"/>
      </w:pPr>
      <w:r w:rsidRPr="00D4325A">
        <w:t xml:space="preserve">The </w:t>
      </w:r>
      <w:r>
        <w:t>police services</w:t>
      </w:r>
      <w:r w:rsidRPr="00D4325A">
        <w:t xml:space="preserve"> interpretative material is supporting material and includes explanations of why indicators have been chosen, and wherever possible, a link to the stated objectives of the service. It includes indicator definitions, technical details defining how the indic</w:t>
      </w:r>
      <w:r>
        <w:t xml:space="preserve">ator is </w:t>
      </w:r>
      <w:r>
        <w:lastRenderedPageBreak/>
        <w:t>measured</w:t>
      </w:r>
      <w:r w:rsidRPr="00D4325A">
        <w:t xml:space="preserve"> and guidance on how the indicator is to be interpreted, including caveats and the indicator’s completeness and comparability status.</w:t>
      </w:r>
    </w:p>
    <w:p w14:paraId="524745F0" w14:textId="5258F0CB" w:rsidR="00C277BC" w:rsidRDefault="00C277BC" w:rsidP="004B2A15">
      <w:pPr>
        <w:pStyle w:val="BodyText"/>
      </w:pPr>
      <w:r w:rsidRPr="001E7CE2">
        <w:t xml:space="preserve">Further information on the Report on Government Services including other reported service areas, the glossary and list of abbreviations is available at </w:t>
      </w:r>
      <w:r>
        <w:t>https://www.pc.gov.au/research/</w:t>
      </w:r>
      <w:r>
        <w:br/>
        <w:t>ongoing/report</w:t>
      </w:r>
      <w:r>
        <w:noBreakHyphen/>
        <w:t>on</w:t>
      </w:r>
      <w:r>
        <w:noBreakHyphen/>
        <w:t>government</w:t>
      </w:r>
      <w:r>
        <w:noBreakHyphen/>
        <w:t>services</w:t>
      </w:r>
      <w:r w:rsidR="00716415">
        <w:t>.</w:t>
      </w:r>
    </w:p>
    <w:p w14:paraId="1352DB10" w14:textId="77777777" w:rsidR="00C277BC" w:rsidRDefault="00C277BC" w:rsidP="00C277BC">
      <w:pPr>
        <w:pStyle w:val="Heading2"/>
      </w:pPr>
      <w:bookmarkStart w:id="3" w:name="_Toc22029141"/>
      <w:bookmarkStart w:id="4" w:name="_Toc21072038"/>
      <w:r w:rsidRPr="00583ADC">
        <w:t>6.</w:t>
      </w:r>
      <w:r>
        <w:rPr>
          <w:noProof/>
        </w:rPr>
        <w:t>1</w:t>
      </w:r>
      <w:r w:rsidRPr="00583ADC">
        <w:tab/>
      </w:r>
      <w:r>
        <w:t>Indicators</w:t>
      </w:r>
      <w:bookmarkEnd w:id="3"/>
    </w:p>
    <w:p w14:paraId="6CAAA43D" w14:textId="77777777" w:rsidR="00C277BC" w:rsidRDefault="00C277BC" w:rsidP="00C277BC">
      <w:pPr>
        <w:pStyle w:val="BodyText"/>
      </w:pPr>
      <w:r>
        <w:t>Different delivery contexts, locations and types of clients can affect the equity, effectiveness and efficiency of police services.</w:t>
      </w:r>
    </w:p>
    <w:p w14:paraId="696BB789" w14:textId="1E1AC0BD" w:rsidR="00C277BC" w:rsidRDefault="00C277BC" w:rsidP="00C277BC">
      <w:pPr>
        <w:pStyle w:val="BodyText"/>
      </w:pPr>
      <w:r>
        <w:t xml:space="preserve">The comparability of performance indicator results </w:t>
      </w:r>
      <w:r w:rsidR="00CE6A19">
        <w:t>is</w:t>
      </w:r>
      <w:r>
        <w:t xml:space="preserve"> shaded in indicator interpretation boxes, figures and data tables as follows:</w:t>
      </w:r>
    </w:p>
    <w:p w14:paraId="646CFAE1" w14:textId="77777777" w:rsidR="00C277BC" w:rsidRDefault="00C277BC" w:rsidP="00C277BC">
      <w:pPr>
        <w:pStyle w:val="ListBullet"/>
        <w:numPr>
          <w:ilvl w:val="0"/>
          <w:numId w:val="0"/>
        </w:numPr>
      </w:pPr>
      <w:r w:rsidRPr="00FA2246">
        <w:rPr>
          <w:shd w:val="clear" w:color="auto" w:fill="F15A25"/>
        </w:rPr>
        <w:t xml:space="preserve">    </w:t>
      </w:r>
      <w:r>
        <w:t xml:space="preserve"> D</w:t>
      </w:r>
      <w:r w:rsidRPr="002F2072">
        <w:t>ata are comparable (subject to caveats) across jurisdictions and over time.</w:t>
      </w:r>
    </w:p>
    <w:p w14:paraId="43E16A19" w14:textId="77777777" w:rsidR="00C277BC" w:rsidRDefault="00C277BC" w:rsidP="00C277BC">
      <w:pPr>
        <w:pStyle w:val="ListBullet"/>
        <w:numPr>
          <w:ilvl w:val="0"/>
          <w:numId w:val="0"/>
        </w:numPr>
      </w:pPr>
      <w:r w:rsidRPr="00057E12">
        <w:rPr>
          <w:shd w:val="clear" w:color="auto" w:fill="FCDED3"/>
        </w:rPr>
        <w:t xml:space="preserve"> </w:t>
      </w:r>
      <w:r w:rsidRPr="00ED1A53">
        <w:rPr>
          <w:color w:val="000000" w:themeColor="text1"/>
          <w:shd w:val="clear" w:color="auto" w:fill="FCDED3"/>
        </w:rPr>
        <w:t xml:space="preserve">   </w:t>
      </w:r>
      <w:r>
        <w:t xml:space="preserve"> </w:t>
      </w:r>
      <w:r w:rsidRPr="00E03BC7">
        <w:t>Data are either not comparable (subject to caveats) within jurisdictions over time or are not comparable across jurisdictions or both.</w:t>
      </w:r>
    </w:p>
    <w:p w14:paraId="39B00B30" w14:textId="0360DABF" w:rsidR="00C277BC" w:rsidRDefault="00C277BC" w:rsidP="00C277BC">
      <w:pPr>
        <w:pStyle w:val="BodyText"/>
      </w:pPr>
      <w:r>
        <w:t xml:space="preserve">The completeness of performance indicator results </w:t>
      </w:r>
      <w:r w:rsidR="00CE6A19">
        <w:t>is</w:t>
      </w:r>
      <w:r>
        <w:t xml:space="preserve"> shaded in indicator interpretation boxes, figures and data tables as follows:</w:t>
      </w:r>
    </w:p>
    <w:p w14:paraId="31A9FC91" w14:textId="77777777" w:rsidR="00C277BC" w:rsidRDefault="00C277BC" w:rsidP="00582AB2">
      <w:pPr>
        <w:pStyle w:val="BodyText"/>
        <w:keepLines/>
        <w:spacing w:before="120"/>
      </w:pPr>
      <w:r w:rsidRPr="00FA2246">
        <w:rPr>
          <w:shd w:val="clear" w:color="auto" w:fill="F15A25"/>
        </w:rPr>
        <w:t xml:space="preserve">    </w:t>
      </w:r>
      <w:r>
        <w:t xml:space="preserve"> </w:t>
      </w:r>
      <w:r w:rsidRPr="00E012A1">
        <w:t>Data are complete (subject to caveats) for the current reporting period. All required data are available for all jurisdictions</w:t>
      </w:r>
      <w:r>
        <w:t>.</w:t>
      </w:r>
    </w:p>
    <w:p w14:paraId="614B0F21" w14:textId="77777777" w:rsidR="00C277BC" w:rsidRDefault="00C277BC" w:rsidP="00582AB2">
      <w:pPr>
        <w:pStyle w:val="BodyText"/>
        <w:keepLines/>
        <w:spacing w:before="120"/>
      </w:pPr>
      <w:r w:rsidRPr="00057E12">
        <w:rPr>
          <w:shd w:val="clear" w:color="auto" w:fill="FCDED3"/>
        </w:rPr>
        <w:t xml:space="preserve">    </w:t>
      </w:r>
      <w:r>
        <w:t xml:space="preserve"> D</w:t>
      </w:r>
      <w:r w:rsidRPr="00BF7D83">
        <w:t>ata are incomplete for the current reporting period. At least some data were not available.</w:t>
      </w:r>
    </w:p>
    <w:p w14:paraId="179057A2" w14:textId="77777777" w:rsidR="00C277BC" w:rsidRPr="001F060F" w:rsidRDefault="00C277BC" w:rsidP="00C277BC">
      <w:pPr>
        <w:pStyle w:val="Heading3"/>
      </w:pPr>
      <w:bookmarkStart w:id="5" w:name="_Toc22029142"/>
      <w:r w:rsidRPr="001F060F">
        <w:t>Outputs</w:t>
      </w:r>
      <w:bookmarkEnd w:id="5"/>
    </w:p>
    <w:p w14:paraId="177E91E2" w14:textId="3A70B721" w:rsidR="00C277BC" w:rsidRPr="001F060F" w:rsidRDefault="00C277BC" w:rsidP="00C277BC">
      <w:pPr>
        <w:pStyle w:val="BodyText"/>
      </w:pPr>
      <w:r w:rsidRPr="001F060F">
        <w:t xml:space="preserve">Outputs are the services delivered (while outcomes are the impact of these services on the status of an individual or group) (see </w:t>
      </w:r>
      <w:r>
        <w:t>section</w:t>
      </w:r>
      <w:r w:rsidR="008D44F2">
        <w:t> </w:t>
      </w:r>
      <w:r w:rsidRPr="001F060F">
        <w:t>1). Output information is also critical for equitable, efficient and effective management of government services.</w:t>
      </w:r>
    </w:p>
    <w:p w14:paraId="6DAF4F22" w14:textId="77777777" w:rsidR="00C277BC" w:rsidRPr="004654CD" w:rsidRDefault="00C277BC" w:rsidP="00C277BC">
      <w:pPr>
        <w:pStyle w:val="Heading3"/>
      </w:pPr>
      <w:bookmarkStart w:id="6" w:name="_Toc22029143"/>
      <w:r w:rsidRPr="004654CD">
        <w:t>Equity</w:t>
      </w:r>
      <w:bookmarkEnd w:id="6"/>
    </w:p>
    <w:p w14:paraId="797BC8DA" w14:textId="77777777" w:rsidR="00C277BC" w:rsidRPr="001F060F" w:rsidRDefault="00C277BC" w:rsidP="00C277BC">
      <w:pPr>
        <w:pStyle w:val="Heading4"/>
      </w:pPr>
      <w:bookmarkStart w:id="7" w:name="_Toc22029144"/>
      <w:r w:rsidRPr="001F060F">
        <w:t>Aboriginal and Torres Strait Islander staffing</w:t>
      </w:r>
      <w:bookmarkEnd w:id="7"/>
    </w:p>
    <w:p w14:paraId="1CD55CFE" w14:textId="6CBB95E8" w:rsidR="00C277BC" w:rsidRPr="001F060F" w:rsidRDefault="00C277BC" w:rsidP="00C277BC">
      <w:pPr>
        <w:pStyle w:val="BodyText"/>
      </w:pPr>
      <w:r w:rsidRPr="001F060F">
        <w:t>‘Aboriginal and Torres Strait Islander staffing’ is an indicator of governments’ objective to provide police services in an equitable manner (box</w:t>
      </w:r>
      <w:r w:rsidR="008D44F2">
        <w:t> </w:t>
      </w:r>
      <w:r w:rsidRPr="001F060F">
        <w:t>6.</w:t>
      </w:r>
      <w:r>
        <w:t>1</w:t>
      </w:r>
      <w:r w:rsidRPr="001F060F">
        <w:t>).</w:t>
      </w:r>
    </w:p>
    <w:p w14:paraId="405D3140"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29001070" w14:textId="77777777" w:rsidTr="001708C1">
        <w:trPr>
          <w:tblHeader/>
        </w:trPr>
        <w:tc>
          <w:tcPr>
            <w:tcW w:w="5000" w:type="pct"/>
            <w:tcBorders>
              <w:top w:val="single" w:sz="6" w:space="0" w:color="78A22F"/>
              <w:left w:val="nil"/>
              <w:bottom w:val="nil"/>
              <w:right w:val="nil"/>
            </w:tcBorders>
            <w:shd w:val="clear" w:color="auto" w:fill="F2F2F2"/>
          </w:tcPr>
          <w:p w14:paraId="523727D6" w14:textId="77777777" w:rsidR="00C277BC" w:rsidRDefault="00C277BC" w:rsidP="001708C1">
            <w:pPr>
              <w:pStyle w:val="BoxTitle"/>
            </w:pPr>
            <w:r>
              <w:rPr>
                <w:b w:val="0"/>
              </w:rPr>
              <w:t>Box 6.1</w:t>
            </w:r>
            <w:r>
              <w:tab/>
              <w:t>Aboriginal and Torres Strait Islander staffing</w:t>
            </w:r>
          </w:p>
        </w:tc>
      </w:tr>
      <w:tr w:rsidR="00C277BC" w14:paraId="0203A213" w14:textId="77777777" w:rsidTr="001708C1">
        <w:tc>
          <w:tcPr>
            <w:tcW w:w="5000" w:type="pct"/>
            <w:tcBorders>
              <w:top w:val="nil"/>
              <w:left w:val="nil"/>
              <w:bottom w:val="nil"/>
              <w:right w:val="nil"/>
            </w:tcBorders>
            <w:shd w:val="clear" w:color="auto" w:fill="F2F2F2"/>
          </w:tcPr>
          <w:p w14:paraId="02836E69" w14:textId="0120E20E" w:rsidR="00C277BC" w:rsidRDefault="00C277BC" w:rsidP="001708C1">
            <w:pPr>
              <w:pStyle w:val="Box"/>
            </w:pPr>
            <w:r>
              <w:t>‘Aboriginal and Torres Strait Islander staffing’ is defined as the proportion of police staff (operational and non</w:t>
            </w:r>
            <w:r>
              <w:noBreakHyphen/>
            </w:r>
            <w:r w:rsidRPr="007E1FFD">
              <w:t>operational) from Aboriginal</w:t>
            </w:r>
            <w:r>
              <w:t xml:space="preserve"> and Torres Strait Islander backgrounds compared with the proportion of the population aged 20–64 years who are from Aboriginal and Torres Strait Islander backgrounds.</w:t>
            </w:r>
          </w:p>
          <w:p w14:paraId="51FF0AD1" w14:textId="6FB225DD" w:rsidR="00275210" w:rsidRDefault="00275210" w:rsidP="001708C1">
            <w:pPr>
              <w:pStyle w:val="Box"/>
            </w:pPr>
            <w:r>
              <w:t>Aboriginal and Torres Strait Islander staff numbers relate to those staff who self</w:t>
            </w:r>
            <w:r w:rsidR="008735A5">
              <w:noBreakHyphen/>
            </w:r>
            <w:r>
              <w:t>identify as being of Aboriginal and/or Torres Strait Islander descent. Information on Aboriginal and Torres Strait Islander status is generally collected at recruitment.</w:t>
            </w:r>
          </w:p>
          <w:p w14:paraId="072F5DD5" w14:textId="77777777" w:rsidR="00C277BC" w:rsidRPr="006C3EDB" w:rsidRDefault="00C277BC" w:rsidP="001708C1">
            <w:pPr>
              <w:pStyle w:val="Box"/>
            </w:pPr>
            <w:r w:rsidRPr="006C3EDB">
              <w:t xml:space="preserve">A proportion of police staff aged 20–64 years </w:t>
            </w:r>
            <w:r>
              <w:t xml:space="preserve">who are </w:t>
            </w:r>
            <w:r w:rsidRPr="006C3EDB">
              <w:t>from Aboriginal and Torres Strait Islander backgrounds that is similar to the proportion of people aged 20–64 years who are from Aboriginal and Torres Strait Islander backgrounds is desirable.</w:t>
            </w:r>
          </w:p>
          <w:p w14:paraId="2643DD7F" w14:textId="77777777" w:rsidR="00C14531" w:rsidRDefault="00C277BC" w:rsidP="001708C1">
            <w:pPr>
              <w:pStyle w:val="Box"/>
            </w:pPr>
            <w:r w:rsidRPr="006C3EDB">
              <w:t>Aboriginal and Torres Strait Islander people might feel more comfortable in ‘accessing’ police services when they are able to deal with Aboriginal and Torres Strait Islander police staff. However, many factors influence the willingness of Aboriginal and Torres Strait Islander people to access police services, including familiarity with procedures for dealing with polic</w:t>
            </w:r>
            <w:r w:rsidR="00564AA8">
              <w:t>e.</w:t>
            </w:r>
          </w:p>
          <w:p w14:paraId="63FCF6E7" w14:textId="19D1F229" w:rsidR="00C277BC" w:rsidRDefault="00C277BC" w:rsidP="001708C1">
            <w:pPr>
              <w:pStyle w:val="Box"/>
            </w:pPr>
            <w:r>
              <w:t>Data reported for this indicator are:</w:t>
            </w:r>
          </w:p>
          <w:p w14:paraId="7A98DB60" w14:textId="78550CDB" w:rsidR="00C277BC" w:rsidRDefault="00C277BC" w:rsidP="001708C1">
            <w:pPr>
              <w:pStyle w:val="BoxListBullet"/>
              <w:numPr>
                <w:ilvl w:val="0"/>
                <w:numId w:val="0"/>
              </w:numPr>
              <w:ind w:left="284"/>
            </w:pPr>
            <w:r w:rsidRPr="00402955">
              <w:rPr>
                <w:shd w:val="clear" w:color="auto" w:fill="F15A25"/>
              </w:rPr>
              <w:t xml:space="preserve">    </w:t>
            </w:r>
            <w:r>
              <w:t xml:space="preserve"> comparable </w:t>
            </w:r>
            <w:r w:rsidR="00FE70E5">
              <w:t xml:space="preserve">(subject to caveats) </w:t>
            </w:r>
            <w:r>
              <w:t xml:space="preserve">across jurisdictions </w:t>
            </w:r>
            <w:r w:rsidR="00FE70E5">
              <w:t>and</w:t>
            </w:r>
            <w:r>
              <w:t xml:space="preserve"> over time</w:t>
            </w:r>
            <w:r w:rsidR="00C038A3">
              <w:t>.</w:t>
            </w:r>
          </w:p>
          <w:p w14:paraId="5524DB73" w14:textId="262E440A" w:rsidR="00C277BC" w:rsidRPr="002D6AE7" w:rsidRDefault="00C277BC" w:rsidP="001708C1">
            <w:pPr>
              <w:pStyle w:val="BoxListBullet"/>
              <w:numPr>
                <w:ilvl w:val="0"/>
                <w:numId w:val="0"/>
              </w:numPr>
              <w:ind w:left="284"/>
            </w:pPr>
            <w:r w:rsidRPr="009273A9">
              <w:rPr>
                <w:shd w:val="clear" w:color="auto" w:fill="F15A25"/>
              </w:rPr>
              <w:t xml:space="preserve">    </w:t>
            </w:r>
            <w:r>
              <w:t xml:space="preserve"> complete</w:t>
            </w:r>
            <w:r w:rsidRPr="009442FD">
              <w:t xml:space="preserve"> (subject to caveats)</w:t>
            </w:r>
            <w:r>
              <w:t xml:space="preserve"> </w:t>
            </w:r>
            <w:r w:rsidRPr="009442FD">
              <w:t xml:space="preserve">for the current reporting period. All required </w:t>
            </w:r>
            <w:r>
              <w:t>20</w:t>
            </w:r>
            <w:r w:rsidR="009824EA">
              <w:t>20</w:t>
            </w:r>
            <w:r w:rsidR="008735A5">
              <w:noBreakHyphen/>
            </w:r>
            <w:r w:rsidR="00440353">
              <w:t>2</w:t>
            </w:r>
            <w:r w:rsidR="009824EA">
              <w:t>1</w:t>
            </w:r>
            <w:r>
              <w:t xml:space="preserve"> </w:t>
            </w:r>
            <w:r w:rsidRPr="009442FD">
              <w:t>data are available for all jurisdictions</w:t>
            </w:r>
            <w:r>
              <w:t xml:space="preserve">. </w:t>
            </w:r>
          </w:p>
        </w:tc>
      </w:tr>
      <w:tr w:rsidR="00C277BC" w14:paraId="5DC162A6" w14:textId="77777777" w:rsidTr="001708C1">
        <w:tc>
          <w:tcPr>
            <w:tcW w:w="5000" w:type="pct"/>
            <w:tcBorders>
              <w:top w:val="nil"/>
              <w:left w:val="nil"/>
              <w:bottom w:val="single" w:sz="6" w:space="0" w:color="78A22F"/>
              <w:right w:val="nil"/>
            </w:tcBorders>
            <w:shd w:val="clear" w:color="auto" w:fill="F2F2F2"/>
          </w:tcPr>
          <w:p w14:paraId="606D5777" w14:textId="77777777" w:rsidR="00C277BC" w:rsidRDefault="00C277BC" w:rsidP="001708C1">
            <w:pPr>
              <w:pStyle w:val="Box"/>
              <w:spacing w:before="0" w:line="120" w:lineRule="exact"/>
            </w:pPr>
          </w:p>
        </w:tc>
      </w:tr>
      <w:tr w:rsidR="00C277BC" w:rsidRPr="000863A5" w14:paraId="115F2372" w14:textId="77777777" w:rsidTr="001708C1">
        <w:tc>
          <w:tcPr>
            <w:tcW w:w="5000" w:type="pct"/>
            <w:tcBorders>
              <w:top w:val="single" w:sz="6" w:space="0" w:color="78A22F"/>
              <w:left w:val="nil"/>
              <w:bottom w:val="nil"/>
              <w:right w:val="nil"/>
            </w:tcBorders>
          </w:tcPr>
          <w:p w14:paraId="5EF252CB" w14:textId="77777777" w:rsidR="00C277BC" w:rsidRPr="00626D32" w:rsidRDefault="00C277BC" w:rsidP="001708C1">
            <w:pPr>
              <w:pStyle w:val="BoxSpaceBelow"/>
            </w:pPr>
          </w:p>
        </w:tc>
      </w:tr>
    </w:tbl>
    <w:p w14:paraId="09DF7CE5" w14:textId="77777777" w:rsidR="00C277BC" w:rsidRDefault="00C277BC" w:rsidP="00C277BC">
      <w:pPr>
        <w:pStyle w:val="Heading4"/>
      </w:pPr>
      <w:bookmarkStart w:id="8" w:name="_Toc22029145"/>
      <w:r>
        <w:t>Staffing by gender</w:t>
      </w:r>
      <w:bookmarkEnd w:id="8"/>
    </w:p>
    <w:p w14:paraId="5DC724AC" w14:textId="17BB5050" w:rsidR="00C277BC" w:rsidRDefault="00C277BC" w:rsidP="00C277BC">
      <w:pPr>
        <w:pStyle w:val="BodyText"/>
      </w:pPr>
      <w:r>
        <w:t>‘Staffing by gender’ is an indicator of governments’ objective to provide police services in an equitable manner (box</w:t>
      </w:r>
      <w:r w:rsidR="008D44F2">
        <w:t> </w:t>
      </w:r>
      <w:r>
        <w:t>6.2).</w:t>
      </w:r>
    </w:p>
    <w:p w14:paraId="3BD6BF43"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619ECD14" w14:textId="77777777" w:rsidTr="001708C1">
        <w:trPr>
          <w:tblHeader/>
        </w:trPr>
        <w:tc>
          <w:tcPr>
            <w:tcW w:w="5000" w:type="pct"/>
            <w:tcBorders>
              <w:top w:val="single" w:sz="6" w:space="0" w:color="78A22F"/>
              <w:left w:val="nil"/>
              <w:bottom w:val="nil"/>
              <w:right w:val="nil"/>
            </w:tcBorders>
            <w:shd w:val="clear" w:color="auto" w:fill="F2F2F2"/>
          </w:tcPr>
          <w:p w14:paraId="387452F2" w14:textId="77777777" w:rsidR="00C277BC" w:rsidRDefault="00C277BC" w:rsidP="001708C1">
            <w:pPr>
              <w:pStyle w:val="BoxTitle"/>
            </w:pPr>
            <w:r>
              <w:rPr>
                <w:b w:val="0"/>
              </w:rPr>
              <w:t>Box 6.2</w:t>
            </w:r>
            <w:r>
              <w:tab/>
              <w:t>Staffing by gender</w:t>
            </w:r>
          </w:p>
        </w:tc>
      </w:tr>
      <w:tr w:rsidR="00C277BC" w14:paraId="5B0E4341" w14:textId="77777777" w:rsidTr="001708C1">
        <w:tc>
          <w:tcPr>
            <w:tcW w:w="5000" w:type="pct"/>
            <w:tcBorders>
              <w:top w:val="nil"/>
              <w:left w:val="nil"/>
              <w:bottom w:val="nil"/>
              <w:right w:val="nil"/>
            </w:tcBorders>
            <w:shd w:val="clear" w:color="auto" w:fill="F2F2F2"/>
          </w:tcPr>
          <w:p w14:paraId="242E56D4" w14:textId="77777777" w:rsidR="00C277BC" w:rsidRPr="006C3EDB" w:rsidRDefault="00C277BC" w:rsidP="001708C1">
            <w:pPr>
              <w:pStyle w:val="Box"/>
            </w:pPr>
            <w:r>
              <w:t xml:space="preserve">‘Police staffing by gender’ is defined as the number of female police staff (sworn and unsworn) </w:t>
            </w:r>
            <w:r w:rsidRPr="006C3EDB">
              <w:t>divided by the total number of police staff.</w:t>
            </w:r>
          </w:p>
          <w:p w14:paraId="20C5BF56" w14:textId="77777777" w:rsidR="00C277BC" w:rsidRDefault="00C277BC" w:rsidP="001708C1">
            <w:pPr>
              <w:pStyle w:val="Box"/>
            </w:pPr>
            <w:r w:rsidRPr="006C3EDB">
              <w:t>A proportion of female police staff similar to the proportion of females in the population is desirable.</w:t>
            </w:r>
            <w:r>
              <w:t xml:space="preserve"> </w:t>
            </w:r>
            <w:r w:rsidRPr="006C3EDB">
              <w:t xml:space="preserve">Women </w:t>
            </w:r>
            <w:r>
              <w:t>may</w:t>
            </w:r>
            <w:r w:rsidRPr="006C3EDB">
              <w:t xml:space="preserve"> feel more comfortable in accessing police services in particular situations, such as in relation to sexual assault, when they are able to deal with female police staff.</w:t>
            </w:r>
          </w:p>
          <w:p w14:paraId="5D4A022F" w14:textId="77777777" w:rsidR="00C277BC" w:rsidRDefault="00C277BC" w:rsidP="001708C1">
            <w:pPr>
              <w:pStyle w:val="Box"/>
            </w:pPr>
            <w:r>
              <w:t>Data reported for this measure are:</w:t>
            </w:r>
          </w:p>
          <w:p w14:paraId="7B42AAE6" w14:textId="77777777"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47A333FD" w14:textId="6B94B4D9"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w:t>
            </w:r>
            <w:r>
              <w:t xml:space="preserve">e </w:t>
            </w:r>
            <w:r w:rsidRPr="009442FD">
              <w:t>(subject to caveats)</w:t>
            </w:r>
            <w:r>
              <w:t xml:space="preserve"> </w:t>
            </w:r>
            <w:r w:rsidRPr="009442FD">
              <w:t xml:space="preserve">for the current reporting period. All required </w:t>
            </w:r>
            <w:r>
              <w:t>20</w:t>
            </w:r>
            <w:r w:rsidR="009824EA">
              <w:t>20</w:t>
            </w:r>
            <w:r w:rsidR="008735A5">
              <w:noBreakHyphen/>
            </w:r>
            <w:r w:rsidR="00510790">
              <w:t>2</w:t>
            </w:r>
            <w:r w:rsidR="009824EA">
              <w:t>1</w:t>
            </w:r>
            <w:r>
              <w:t xml:space="preserve"> </w:t>
            </w:r>
            <w:r w:rsidRPr="009442FD">
              <w:t>data are</w:t>
            </w:r>
            <w:r>
              <w:t xml:space="preserve"> available for all jurisdictions.</w:t>
            </w:r>
          </w:p>
        </w:tc>
      </w:tr>
      <w:tr w:rsidR="00C277BC" w14:paraId="52FBA08F" w14:textId="77777777" w:rsidTr="001708C1">
        <w:tc>
          <w:tcPr>
            <w:tcW w:w="5000" w:type="pct"/>
            <w:tcBorders>
              <w:top w:val="nil"/>
              <w:left w:val="nil"/>
              <w:bottom w:val="single" w:sz="6" w:space="0" w:color="78A22F"/>
              <w:right w:val="nil"/>
            </w:tcBorders>
            <w:shd w:val="clear" w:color="auto" w:fill="F2F2F2"/>
          </w:tcPr>
          <w:p w14:paraId="4D37065B" w14:textId="77777777" w:rsidR="00C277BC" w:rsidRDefault="00C277BC" w:rsidP="001708C1">
            <w:pPr>
              <w:pStyle w:val="Box"/>
              <w:spacing w:before="0" w:line="120" w:lineRule="exact"/>
            </w:pPr>
          </w:p>
        </w:tc>
      </w:tr>
      <w:tr w:rsidR="00C277BC" w:rsidRPr="000863A5" w14:paraId="583E748C" w14:textId="77777777" w:rsidTr="001708C1">
        <w:tc>
          <w:tcPr>
            <w:tcW w:w="5000" w:type="pct"/>
            <w:tcBorders>
              <w:top w:val="single" w:sz="6" w:space="0" w:color="78A22F"/>
              <w:left w:val="nil"/>
              <w:bottom w:val="nil"/>
              <w:right w:val="nil"/>
            </w:tcBorders>
          </w:tcPr>
          <w:p w14:paraId="1A4B5D13" w14:textId="77777777" w:rsidR="00C277BC" w:rsidRPr="00626D32" w:rsidRDefault="00C277BC" w:rsidP="001708C1">
            <w:pPr>
              <w:pStyle w:val="BoxSpaceBelow"/>
            </w:pPr>
          </w:p>
        </w:tc>
      </w:tr>
    </w:tbl>
    <w:p w14:paraId="6F0A061C" w14:textId="1CEE073E" w:rsidR="00C277BC" w:rsidRDefault="00C277BC" w:rsidP="00585BF2">
      <w:pPr>
        <w:pStyle w:val="Heading3"/>
        <w:tabs>
          <w:tab w:val="left" w:pos="7810"/>
        </w:tabs>
      </w:pPr>
      <w:bookmarkStart w:id="9" w:name="_Toc22029146"/>
      <w:r>
        <w:lastRenderedPageBreak/>
        <w:t>Effectiveness</w:t>
      </w:r>
      <w:bookmarkEnd w:id="9"/>
      <w:r w:rsidR="00585BF2">
        <w:tab/>
      </w:r>
    </w:p>
    <w:p w14:paraId="6E99458C" w14:textId="77777777" w:rsidR="00C277BC" w:rsidRPr="000311F7" w:rsidRDefault="00C277BC" w:rsidP="00C277BC">
      <w:pPr>
        <w:pStyle w:val="Heading4"/>
      </w:pPr>
      <w:bookmarkStart w:id="10" w:name="_Toc22029147"/>
      <w:r w:rsidRPr="000311F7">
        <w:t>Road safety</w:t>
      </w:r>
      <w:bookmarkEnd w:id="10"/>
    </w:p>
    <w:p w14:paraId="090E02ED" w14:textId="77777777" w:rsidR="00C277BC" w:rsidRDefault="00C277BC" w:rsidP="00C277BC">
      <w:pPr>
        <w:pStyle w:val="BodyText"/>
      </w:pPr>
      <w:r w:rsidRPr="00025C46">
        <w:t xml:space="preserve">‘Road safety’ is an indicator of governments’ objective </w:t>
      </w:r>
      <w:r>
        <w:t>to promote s</w:t>
      </w:r>
      <w:r w:rsidRPr="00025C46">
        <w:t>afer behaviour on roads (box 6.</w:t>
      </w:r>
      <w:r>
        <w:t>3</w:t>
      </w:r>
      <w:r w:rsidRPr="00025C46">
        <w:t>).</w:t>
      </w:r>
    </w:p>
    <w:p w14:paraId="7992E355"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09F82912" w14:textId="77777777" w:rsidTr="001708C1">
        <w:trPr>
          <w:tblHeader/>
        </w:trPr>
        <w:tc>
          <w:tcPr>
            <w:tcW w:w="5000" w:type="pct"/>
            <w:tcBorders>
              <w:top w:val="single" w:sz="6" w:space="0" w:color="78A22F"/>
              <w:left w:val="nil"/>
              <w:bottom w:val="nil"/>
              <w:right w:val="nil"/>
            </w:tcBorders>
            <w:shd w:val="clear" w:color="auto" w:fill="F2F2F2"/>
          </w:tcPr>
          <w:p w14:paraId="13283EA6" w14:textId="77777777" w:rsidR="00C277BC" w:rsidRDefault="00C277BC" w:rsidP="001708C1">
            <w:pPr>
              <w:pStyle w:val="BoxTitle"/>
            </w:pPr>
            <w:r>
              <w:rPr>
                <w:b w:val="0"/>
              </w:rPr>
              <w:t>Box 6.3</w:t>
            </w:r>
            <w:r>
              <w:tab/>
              <w:t>Road safety</w:t>
            </w:r>
          </w:p>
        </w:tc>
      </w:tr>
      <w:tr w:rsidR="00C277BC" w14:paraId="778C82FD" w14:textId="77777777" w:rsidTr="001708C1">
        <w:tc>
          <w:tcPr>
            <w:tcW w:w="5000" w:type="pct"/>
            <w:tcBorders>
              <w:top w:val="nil"/>
              <w:left w:val="nil"/>
              <w:bottom w:val="nil"/>
              <w:right w:val="nil"/>
            </w:tcBorders>
            <w:shd w:val="clear" w:color="auto" w:fill="F2F2F2"/>
          </w:tcPr>
          <w:p w14:paraId="104C44F3" w14:textId="77777777" w:rsidR="00C277BC" w:rsidRDefault="00C277BC" w:rsidP="001708C1">
            <w:pPr>
              <w:pStyle w:val="Box"/>
            </w:pPr>
            <w:r>
              <w:t>‘Road safety’ is defined by three measures:</w:t>
            </w:r>
          </w:p>
          <w:p w14:paraId="58FDD499" w14:textId="77777777" w:rsidR="00C277BC" w:rsidRDefault="00C277BC" w:rsidP="001708C1">
            <w:pPr>
              <w:pStyle w:val="BoxListBullet"/>
            </w:pPr>
            <w:r>
              <w:t xml:space="preserve">use of seatbelts, defined as the proportion of people who had driven in the previous 6 months and who indicated that, in that time, they had driven without wearing a seatbelt </w:t>
            </w:r>
          </w:p>
          <w:p w14:paraId="1CD1E5E0" w14:textId="77777777" w:rsidR="00C277BC" w:rsidRDefault="00C277BC" w:rsidP="001708C1">
            <w:pPr>
              <w:pStyle w:val="BoxListBullet"/>
            </w:pPr>
            <w:r>
              <w:t>driving under the influence, defined as the proportion of people who had driven in the previous 6 months and who indicated that, in that time, they had driven when possibly over the alcohol limit</w:t>
            </w:r>
          </w:p>
          <w:p w14:paraId="3B6C7241" w14:textId="77777777" w:rsidR="00C277BC" w:rsidRDefault="00C277BC" w:rsidP="001708C1">
            <w:pPr>
              <w:pStyle w:val="BoxListBullet"/>
            </w:pPr>
            <w:r>
              <w:t>the degree of speeding, defined as the proportion of people who had driven in the previous 6 months and who indicated that, in that time, they had driven 10 kilometres per hour or more above the speed limit.</w:t>
            </w:r>
          </w:p>
          <w:p w14:paraId="54E5D9D2" w14:textId="1976FDE3" w:rsidR="00275210" w:rsidRDefault="00275210" w:rsidP="001708C1">
            <w:pPr>
              <w:pStyle w:val="Box"/>
            </w:pPr>
            <w:r>
              <w:t>The population scope for the data reported is the total population aged 18 years or over. Until October 2015, it was the total population aged 15 years or over.</w:t>
            </w:r>
          </w:p>
          <w:p w14:paraId="4A680413" w14:textId="0485A117" w:rsidR="00C277BC" w:rsidRDefault="00C277BC" w:rsidP="001708C1">
            <w:pPr>
              <w:pStyle w:val="Box"/>
            </w:pPr>
            <w:r>
              <w:t>A low or decreasing proportion of people who stated that they had driven without wearing a seatbelt, driven when possibly over the alcohol limit and/or driven 10 kilometres per hour or more above the speed limit is desirable.</w:t>
            </w:r>
          </w:p>
          <w:p w14:paraId="13712C4A" w14:textId="77777777" w:rsidR="00C277BC" w:rsidRDefault="00C277BC" w:rsidP="001708C1">
            <w:pPr>
              <w:pStyle w:val="Box"/>
            </w:pPr>
            <w:r w:rsidRPr="006C3EDB">
              <w:t xml:space="preserve">The use of seatbelts, driving under the influence of alcohol and speeding </w:t>
            </w:r>
            <w:r>
              <w:t>are</w:t>
            </w:r>
            <w:r w:rsidRPr="006C3EDB">
              <w:t xml:space="preserve"> affected by a number of factors in addition to police</w:t>
            </w:r>
            <w:r>
              <w:t xml:space="preserve"> activities</w:t>
            </w:r>
            <w:r w:rsidRPr="006C3EDB">
              <w:t>, such as driver education and media campaigns.</w:t>
            </w:r>
          </w:p>
          <w:p w14:paraId="77BCCF1F" w14:textId="77777777" w:rsidR="00C277BC" w:rsidRDefault="00C277BC" w:rsidP="001708C1">
            <w:pPr>
              <w:pStyle w:val="Box"/>
            </w:pPr>
            <w:r>
              <w:t>Data reported for these measures are:</w:t>
            </w:r>
          </w:p>
          <w:p w14:paraId="2162D9F7" w14:textId="774E9531" w:rsidR="00C277BC" w:rsidRDefault="00C277BC" w:rsidP="001708C1">
            <w:pPr>
              <w:pStyle w:val="BoxListBullet"/>
              <w:numPr>
                <w:ilvl w:val="0"/>
                <w:numId w:val="0"/>
              </w:numPr>
              <w:ind w:left="284"/>
            </w:pPr>
            <w:r w:rsidRPr="009273A9">
              <w:rPr>
                <w:shd w:val="clear" w:color="auto" w:fill="F15A25"/>
              </w:rPr>
              <w:t xml:space="preserve">    </w:t>
            </w:r>
            <w:r>
              <w:t xml:space="preserve"> comparable (subject to caveats) across jurisdictions and over time</w:t>
            </w:r>
            <w:r w:rsidR="00C038A3">
              <w:t>.</w:t>
            </w:r>
          </w:p>
          <w:p w14:paraId="68509C63" w14:textId="563F843D" w:rsidR="00C277BC" w:rsidRDefault="00C277BC" w:rsidP="006259CF">
            <w:pPr>
              <w:pStyle w:val="BoxListBullet"/>
              <w:numPr>
                <w:ilvl w:val="0"/>
                <w:numId w:val="0"/>
              </w:numPr>
              <w:ind w:left="284"/>
            </w:pPr>
            <w:r w:rsidRPr="009273A9">
              <w:rPr>
                <w:shd w:val="clear" w:color="auto" w:fill="F15A25"/>
              </w:rPr>
              <w:t xml:space="preserve">    </w:t>
            </w:r>
            <w:r>
              <w:t xml:space="preserve"> complete (subject to caveats) for the current reporting period. All required 20</w:t>
            </w:r>
            <w:r w:rsidR="009824EA">
              <w:t>20</w:t>
            </w:r>
            <w:r w:rsidR="008735A5">
              <w:noBreakHyphen/>
            </w:r>
            <w:r w:rsidR="001430EA">
              <w:t>2</w:t>
            </w:r>
            <w:r w:rsidR="009824EA">
              <w:t>1</w:t>
            </w:r>
            <w:r>
              <w:t xml:space="preserve"> data are available for all jurisdictions.</w:t>
            </w:r>
          </w:p>
        </w:tc>
      </w:tr>
      <w:tr w:rsidR="00C277BC" w14:paraId="215C0C83" w14:textId="77777777" w:rsidTr="001708C1">
        <w:tc>
          <w:tcPr>
            <w:tcW w:w="5000" w:type="pct"/>
            <w:tcBorders>
              <w:top w:val="nil"/>
              <w:left w:val="nil"/>
              <w:bottom w:val="single" w:sz="6" w:space="0" w:color="78A22F"/>
              <w:right w:val="nil"/>
            </w:tcBorders>
            <w:shd w:val="clear" w:color="auto" w:fill="F2F2F2"/>
          </w:tcPr>
          <w:p w14:paraId="648A1BDE" w14:textId="77777777" w:rsidR="00C277BC" w:rsidRDefault="00C277BC" w:rsidP="001708C1">
            <w:pPr>
              <w:pStyle w:val="Box"/>
              <w:spacing w:before="0" w:line="120" w:lineRule="exact"/>
            </w:pPr>
          </w:p>
        </w:tc>
      </w:tr>
      <w:tr w:rsidR="00C277BC" w:rsidRPr="000863A5" w14:paraId="5C798BC0" w14:textId="77777777" w:rsidTr="001708C1">
        <w:tc>
          <w:tcPr>
            <w:tcW w:w="5000" w:type="pct"/>
            <w:tcBorders>
              <w:top w:val="single" w:sz="6" w:space="0" w:color="78A22F"/>
              <w:left w:val="nil"/>
              <w:bottom w:val="nil"/>
              <w:right w:val="nil"/>
            </w:tcBorders>
          </w:tcPr>
          <w:p w14:paraId="6358B08A" w14:textId="77777777" w:rsidR="00C277BC" w:rsidRPr="00626D32" w:rsidRDefault="00C277BC" w:rsidP="001708C1">
            <w:pPr>
              <w:pStyle w:val="BoxSpaceBelow"/>
            </w:pPr>
          </w:p>
        </w:tc>
      </w:tr>
    </w:tbl>
    <w:p w14:paraId="45F8CFFD" w14:textId="77777777" w:rsidR="001011ED" w:rsidRDefault="001011ED">
      <w:pPr>
        <w:rPr>
          <w:rFonts w:ascii="Arial" w:hAnsi="Arial"/>
          <w:szCs w:val="20"/>
        </w:rPr>
        <w:sectPr w:rsidR="001011ED" w:rsidSect="00605234">
          <w:headerReference w:type="even" r:id="rId11"/>
          <w:headerReference w:type="default" r:id="rId12"/>
          <w:footerReference w:type="even" r:id="rId13"/>
          <w:footerReference w:type="default" r:id="rId14"/>
          <w:pgSz w:w="11907" w:h="16840" w:code="9"/>
          <w:pgMar w:top="1985" w:right="1304" w:bottom="1247" w:left="1814" w:header="1701" w:footer="397" w:gutter="0"/>
          <w:pgNumType w:chapSep="period"/>
          <w:cols w:space="720"/>
        </w:sectPr>
      </w:pPr>
      <w:bookmarkStart w:id="12" w:name="_Toc22029148"/>
    </w:p>
    <w:p w14:paraId="0DA1CCFE" w14:textId="50436EA7" w:rsidR="005E1520" w:rsidRDefault="005E1520">
      <w:pPr>
        <w:rPr>
          <w:rFonts w:ascii="Arial" w:hAnsi="Arial"/>
          <w:szCs w:val="20"/>
        </w:rPr>
      </w:pPr>
    </w:p>
    <w:p w14:paraId="3DF33AFD" w14:textId="1D136F4E" w:rsidR="00C277BC" w:rsidRDefault="00C277BC" w:rsidP="00C277BC">
      <w:pPr>
        <w:pStyle w:val="Heading4"/>
      </w:pPr>
      <w:r>
        <w:t>Deaths in police custody</w:t>
      </w:r>
      <w:bookmarkEnd w:id="12"/>
    </w:p>
    <w:p w14:paraId="372AC783" w14:textId="3D21145A" w:rsidR="00C277BC" w:rsidRDefault="00C277BC" w:rsidP="00C277BC">
      <w:pPr>
        <w:pStyle w:val="BodyText"/>
      </w:pPr>
      <w:r w:rsidRPr="00D21303">
        <w:t>‘Deaths in police custody’ is an indicator of governments’ objective of providing safe custodial services (box</w:t>
      </w:r>
      <w:r w:rsidR="008D44F2">
        <w:t> </w:t>
      </w:r>
      <w:r w:rsidRPr="00D21303">
        <w:t>6.</w:t>
      </w:r>
      <w:r>
        <w:t>4</w:t>
      </w:r>
      <w:r w:rsidRPr="00D21303">
        <w:t>)</w:t>
      </w:r>
      <w:r w:rsidR="008735A5">
        <w:t>.</w:t>
      </w:r>
    </w:p>
    <w:p w14:paraId="7F34D0FD"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1B9DE1E7" w14:textId="77777777" w:rsidTr="001708C1">
        <w:trPr>
          <w:tblHeader/>
        </w:trPr>
        <w:tc>
          <w:tcPr>
            <w:tcW w:w="5000" w:type="pct"/>
            <w:tcBorders>
              <w:top w:val="single" w:sz="6" w:space="0" w:color="78A22F"/>
              <w:left w:val="nil"/>
              <w:bottom w:val="nil"/>
              <w:right w:val="nil"/>
            </w:tcBorders>
            <w:shd w:val="clear" w:color="auto" w:fill="F2F2F2"/>
          </w:tcPr>
          <w:p w14:paraId="28428966" w14:textId="77777777" w:rsidR="00C277BC" w:rsidRDefault="00C277BC" w:rsidP="001708C1">
            <w:pPr>
              <w:pStyle w:val="BoxTitle"/>
            </w:pPr>
            <w:r>
              <w:rPr>
                <w:b w:val="0"/>
              </w:rPr>
              <w:t>Box 6.4</w:t>
            </w:r>
            <w:r>
              <w:tab/>
              <w:t>Deaths in police custody</w:t>
            </w:r>
          </w:p>
        </w:tc>
      </w:tr>
      <w:tr w:rsidR="00C277BC" w14:paraId="5074155D" w14:textId="77777777" w:rsidTr="001708C1">
        <w:tc>
          <w:tcPr>
            <w:tcW w:w="5000" w:type="pct"/>
            <w:tcBorders>
              <w:top w:val="nil"/>
              <w:left w:val="nil"/>
              <w:bottom w:val="nil"/>
              <w:right w:val="nil"/>
            </w:tcBorders>
            <w:shd w:val="clear" w:color="auto" w:fill="F2F2F2"/>
          </w:tcPr>
          <w:p w14:paraId="12F01836" w14:textId="77777777" w:rsidR="00C277BC" w:rsidRDefault="00C277BC" w:rsidP="001708C1">
            <w:pPr>
              <w:pStyle w:val="Box"/>
            </w:pPr>
            <w:r>
              <w:t>‘Deaths in police custody’ is defined by two measures:</w:t>
            </w:r>
          </w:p>
          <w:p w14:paraId="1FDD996D" w14:textId="4582980E" w:rsidR="00C277BC" w:rsidRDefault="00C277BC" w:rsidP="001708C1">
            <w:pPr>
              <w:pStyle w:val="BoxListBullet"/>
            </w:pPr>
            <w:r>
              <w:t>total deaths in police custody and custody</w:t>
            </w:r>
            <w:r w:rsidR="008735A5">
              <w:noBreakHyphen/>
            </w:r>
            <w:r>
              <w:t>related operations</w:t>
            </w:r>
          </w:p>
          <w:p w14:paraId="13539ADB" w14:textId="0AADD5E8" w:rsidR="00C277BC" w:rsidRDefault="00C277BC" w:rsidP="001708C1">
            <w:pPr>
              <w:pStyle w:val="BoxListBullet"/>
            </w:pPr>
            <w:r>
              <w:t>Aboriginal and Torres Strait Islander deaths in police custody and custody</w:t>
            </w:r>
            <w:r w:rsidR="008735A5">
              <w:noBreakHyphen/>
            </w:r>
            <w:r>
              <w:t>related operations.</w:t>
            </w:r>
          </w:p>
          <w:p w14:paraId="3B5963B1" w14:textId="2AE93AFC" w:rsidR="00551CBA" w:rsidRPr="00590083" w:rsidRDefault="00551CBA" w:rsidP="00551CBA">
            <w:pPr>
              <w:pStyle w:val="Box"/>
            </w:pPr>
            <w:r w:rsidRPr="00590083">
              <w:t>Both measures refer to deaths in police custody and custody</w:t>
            </w:r>
            <w:r w:rsidR="008735A5">
              <w:noBreakHyphen/>
            </w:r>
            <w:r w:rsidRPr="00590083">
              <w:t>related operations. These deaths are divided into two m</w:t>
            </w:r>
            <w:r w:rsidR="00DC2145" w:rsidRPr="00590083">
              <w:t xml:space="preserve">ain </w:t>
            </w:r>
            <w:r w:rsidRPr="00590083">
              <w:t>categories:</w:t>
            </w:r>
          </w:p>
          <w:p w14:paraId="215D33A0" w14:textId="67899CD2" w:rsidR="001D2CA4" w:rsidRPr="00590083" w:rsidRDefault="00DC2145" w:rsidP="00DC2145">
            <w:pPr>
              <w:pStyle w:val="BoxListBullet"/>
            </w:pPr>
            <w:r w:rsidRPr="00590083">
              <w:t xml:space="preserve">Category 1: </w:t>
            </w:r>
            <w:r w:rsidR="00551CBA" w:rsidRPr="00590083">
              <w:t xml:space="preserve">deaths in institutional settings (for example, police stations or lockups, police vehicles, during transfer from an institution), and other deaths in police operations where officers were in close contact with the deceased (for example, most raids and shootings by police). </w:t>
            </w:r>
          </w:p>
          <w:p w14:paraId="358CC916" w14:textId="26DCD937" w:rsidR="00551CBA" w:rsidRPr="00590083" w:rsidRDefault="00DC2145" w:rsidP="00DC2145">
            <w:pPr>
              <w:pStyle w:val="BoxListBullet"/>
            </w:pPr>
            <w:r w:rsidRPr="00590083">
              <w:t xml:space="preserve">Category 2: </w:t>
            </w:r>
            <w:r w:rsidR="00551CBA" w:rsidRPr="00590083">
              <w:t>deaths during custody</w:t>
            </w:r>
            <w:r w:rsidR="008735A5">
              <w:noBreakHyphen/>
            </w:r>
            <w:r w:rsidR="00551CBA" w:rsidRPr="00590083">
              <w:t xml:space="preserve">related operations — where officers did not have such close contact with the person to be able to significantly influence or control the person's behaviour (for example, most sieges), and most cases where officers were attempting to detain a person (for example, a pursuit). </w:t>
            </w:r>
          </w:p>
          <w:p w14:paraId="030DD459" w14:textId="77777777" w:rsidR="00C277BC" w:rsidRPr="00FD519C" w:rsidRDefault="00C277BC" w:rsidP="002028DB">
            <w:pPr>
              <w:pStyle w:val="Box"/>
            </w:pPr>
            <w:r w:rsidRPr="002028DB">
              <w:t>None or a decreasing number of deaths in custody and custody</w:t>
            </w:r>
            <w:r w:rsidRPr="002028DB">
              <w:noBreakHyphen/>
              <w:t>related operations is desirable</w:t>
            </w:r>
            <w:r w:rsidRPr="00FD519C">
              <w:t>.</w:t>
            </w:r>
          </w:p>
          <w:p w14:paraId="4498039E" w14:textId="77777777" w:rsidR="00C277BC" w:rsidRDefault="00C277BC" w:rsidP="001708C1">
            <w:pPr>
              <w:pStyle w:val="Box"/>
            </w:pPr>
            <w:r>
              <w:t>Data reported for these measures are:</w:t>
            </w:r>
          </w:p>
          <w:p w14:paraId="16CFA177" w14:textId="147E3360" w:rsidR="00C277BC" w:rsidRPr="00094E9C" w:rsidRDefault="00C277BC" w:rsidP="00094E9C">
            <w:pPr>
              <w:pStyle w:val="BoxListBullet"/>
              <w:numPr>
                <w:ilvl w:val="0"/>
                <w:numId w:val="0"/>
              </w:numPr>
              <w:ind w:left="284"/>
            </w:pPr>
            <w:r w:rsidRPr="009A2B9C">
              <w:rPr>
                <w:shd w:val="clear" w:color="auto" w:fill="F15A25"/>
              </w:rPr>
              <w:t xml:space="preserve">    </w:t>
            </w:r>
            <w:r>
              <w:t xml:space="preserve"> </w:t>
            </w:r>
            <w:r w:rsidR="00E279C7">
              <w:t xml:space="preserve">comparable </w:t>
            </w:r>
            <w:r w:rsidR="001F15BA">
              <w:t xml:space="preserve">(subject to caveats) </w:t>
            </w:r>
            <w:r w:rsidR="00E279C7">
              <w:t xml:space="preserve">across jurisdictions </w:t>
            </w:r>
            <w:r w:rsidR="001F15BA">
              <w:t>and</w:t>
            </w:r>
            <w:r w:rsidR="00E279C7">
              <w:t xml:space="preserve"> over time</w:t>
            </w:r>
            <w:r w:rsidR="001F15BA">
              <w:t>.</w:t>
            </w:r>
            <w:r w:rsidR="00E279C7">
              <w:t xml:space="preserve"> </w:t>
            </w:r>
          </w:p>
          <w:p w14:paraId="36720D46" w14:textId="5027639E" w:rsidR="00C277BC" w:rsidRDefault="008D234C" w:rsidP="001708C1">
            <w:pPr>
              <w:pStyle w:val="BoxListBullet"/>
              <w:numPr>
                <w:ilvl w:val="0"/>
                <w:numId w:val="0"/>
              </w:numPr>
              <w:ind w:left="284"/>
            </w:pPr>
            <w:r w:rsidRPr="009273A9">
              <w:rPr>
                <w:shd w:val="clear" w:color="auto" w:fill="F15A25"/>
              </w:rPr>
              <w:t xml:space="preserve">    </w:t>
            </w:r>
            <w:r w:rsidR="00C277BC">
              <w:t xml:space="preserve"> </w:t>
            </w:r>
            <w:r w:rsidR="0061225A" w:rsidRPr="00ED005E">
              <w:t xml:space="preserve">complete </w:t>
            </w:r>
            <w:r>
              <w:t xml:space="preserve">(subject to caveats) </w:t>
            </w:r>
            <w:r w:rsidR="0061225A" w:rsidRPr="00ED005E">
              <w:t xml:space="preserve">for the current reporting period. All </w:t>
            </w:r>
            <w:r>
              <w:t xml:space="preserve">required </w:t>
            </w:r>
            <w:r w:rsidR="0061225A" w:rsidRPr="00ED005E">
              <w:t>20</w:t>
            </w:r>
            <w:r w:rsidR="009824EA">
              <w:t>20</w:t>
            </w:r>
            <w:r w:rsidR="008735A5">
              <w:noBreakHyphen/>
            </w:r>
            <w:r w:rsidR="0061225A" w:rsidRPr="00ED005E">
              <w:t>2</w:t>
            </w:r>
            <w:r w:rsidR="009824EA">
              <w:t>1</w:t>
            </w:r>
            <w:r w:rsidR="0061225A" w:rsidRPr="00ED005E">
              <w:t xml:space="preserve"> data </w:t>
            </w:r>
            <w:r>
              <w:t xml:space="preserve">are </w:t>
            </w:r>
            <w:r w:rsidR="0061225A" w:rsidRPr="00ED005E">
              <w:t>available</w:t>
            </w:r>
            <w:r>
              <w:t xml:space="preserve"> for all jurisdictions</w:t>
            </w:r>
            <w:r w:rsidR="0061225A" w:rsidRPr="00ED005E">
              <w:t>.</w:t>
            </w:r>
            <w:r w:rsidR="005D3BD7">
              <w:t xml:space="preserve"> </w:t>
            </w:r>
          </w:p>
        </w:tc>
      </w:tr>
      <w:tr w:rsidR="00C277BC" w14:paraId="7827649D" w14:textId="77777777" w:rsidTr="001708C1">
        <w:tc>
          <w:tcPr>
            <w:tcW w:w="5000" w:type="pct"/>
            <w:tcBorders>
              <w:top w:val="nil"/>
              <w:left w:val="nil"/>
              <w:bottom w:val="single" w:sz="6" w:space="0" w:color="78A22F"/>
              <w:right w:val="nil"/>
            </w:tcBorders>
            <w:shd w:val="clear" w:color="auto" w:fill="F2F2F2"/>
          </w:tcPr>
          <w:p w14:paraId="10646FF3" w14:textId="77777777" w:rsidR="00C277BC" w:rsidRDefault="00C277BC" w:rsidP="001708C1">
            <w:pPr>
              <w:pStyle w:val="Box"/>
              <w:spacing w:before="0" w:line="120" w:lineRule="exact"/>
            </w:pPr>
          </w:p>
        </w:tc>
      </w:tr>
      <w:tr w:rsidR="00C277BC" w:rsidRPr="000863A5" w14:paraId="677A8F1F" w14:textId="77777777" w:rsidTr="001708C1">
        <w:tc>
          <w:tcPr>
            <w:tcW w:w="5000" w:type="pct"/>
            <w:tcBorders>
              <w:top w:val="single" w:sz="6" w:space="0" w:color="78A22F"/>
              <w:left w:val="nil"/>
              <w:bottom w:val="nil"/>
              <w:right w:val="nil"/>
            </w:tcBorders>
          </w:tcPr>
          <w:p w14:paraId="1A4BC2BD" w14:textId="77777777" w:rsidR="00C277BC" w:rsidRPr="00626D32" w:rsidRDefault="00C277BC" w:rsidP="001708C1">
            <w:pPr>
              <w:pStyle w:val="BoxSpaceBelow"/>
            </w:pPr>
          </w:p>
        </w:tc>
      </w:tr>
    </w:tbl>
    <w:p w14:paraId="6C9B1260" w14:textId="77777777" w:rsidR="001011ED" w:rsidRDefault="001011ED" w:rsidP="00C277BC">
      <w:pPr>
        <w:pStyle w:val="Heading4"/>
        <w:sectPr w:rsidR="001011ED" w:rsidSect="00605234">
          <w:pgSz w:w="11907" w:h="16840" w:code="9"/>
          <w:pgMar w:top="1985" w:right="1304" w:bottom="1247" w:left="1814" w:header="1701" w:footer="397" w:gutter="0"/>
          <w:pgNumType w:chapSep="period"/>
          <w:cols w:space="720"/>
        </w:sectPr>
      </w:pPr>
      <w:bookmarkStart w:id="13" w:name="_Toc22029149"/>
    </w:p>
    <w:p w14:paraId="63D17685" w14:textId="1AB6A9C1" w:rsidR="00C277BC" w:rsidRPr="002C51D4" w:rsidRDefault="00C277BC" w:rsidP="00C277BC">
      <w:pPr>
        <w:pStyle w:val="Heading4"/>
      </w:pPr>
      <w:r w:rsidRPr="002C51D4">
        <w:lastRenderedPageBreak/>
        <w:t>Magistrates</w:t>
      </w:r>
      <w:r w:rsidR="0006184E" w:rsidRPr="002C51D4">
        <w:t>’</w:t>
      </w:r>
      <w:r w:rsidRPr="002C51D4">
        <w:t xml:space="preserve"> court </w:t>
      </w:r>
      <w:r w:rsidR="00631B68" w:rsidRPr="002C51D4">
        <w:t xml:space="preserve">decisions </w:t>
      </w:r>
      <w:r w:rsidRPr="002C51D4">
        <w:t>resulting in a guilty</w:t>
      </w:r>
      <w:r w:rsidR="00DA24EE" w:rsidRPr="002C51D4">
        <w:t xml:space="preserve"> outcome</w:t>
      </w:r>
      <w:r w:rsidRPr="002C51D4">
        <w:t xml:space="preserve"> </w:t>
      </w:r>
      <w:r w:rsidR="00BE57A6" w:rsidRPr="002C51D4">
        <w:t xml:space="preserve">for defendants </w:t>
      </w:r>
      <w:bookmarkEnd w:id="13"/>
    </w:p>
    <w:p w14:paraId="75BCB97C" w14:textId="3298126D" w:rsidR="00C277BC" w:rsidRPr="00A32153" w:rsidRDefault="00C277BC" w:rsidP="00C277BC">
      <w:pPr>
        <w:pStyle w:val="BodyText"/>
      </w:pPr>
      <w:r w:rsidRPr="002C51D4">
        <w:t>‘Magistrates</w:t>
      </w:r>
      <w:r w:rsidR="0006184E" w:rsidRPr="002C51D4">
        <w:t>’</w:t>
      </w:r>
      <w:r w:rsidRPr="002C51D4">
        <w:t xml:space="preserve"> court </w:t>
      </w:r>
      <w:r w:rsidR="00514DA8" w:rsidRPr="002C51D4">
        <w:t>decisions</w:t>
      </w:r>
      <w:r w:rsidR="00631B68" w:rsidRPr="002C51D4">
        <w:t xml:space="preserve"> </w:t>
      </w:r>
      <w:r w:rsidRPr="002C51D4">
        <w:t xml:space="preserve">resulting in a guilty </w:t>
      </w:r>
      <w:r w:rsidR="00DA24EE" w:rsidRPr="002C51D4">
        <w:t>outcome</w:t>
      </w:r>
      <w:r w:rsidR="00A61ACA" w:rsidRPr="002C51D4">
        <w:t xml:space="preserve"> for defendants</w:t>
      </w:r>
      <w:r w:rsidR="00EE07BD" w:rsidRPr="002C51D4">
        <w:t>’</w:t>
      </w:r>
      <w:r w:rsidR="00631B68" w:rsidRPr="002C51D4">
        <w:t xml:space="preserve"> </w:t>
      </w:r>
      <w:r w:rsidRPr="002C51D4">
        <w:t>is an indicator of governments’ objective of supporting the judicial process to bring to justice those people responsible for committing an offence</w:t>
      </w:r>
      <w:r w:rsidRPr="00A32153">
        <w:t xml:space="preserve"> (box</w:t>
      </w:r>
      <w:r w:rsidR="008D44F2">
        <w:t> </w:t>
      </w:r>
      <w:r w:rsidRPr="00A32153">
        <w:t>6</w:t>
      </w:r>
      <w:r>
        <w:t>.5</w:t>
      </w:r>
      <w:r w:rsidRPr="00A32153">
        <w:t>).</w:t>
      </w:r>
    </w:p>
    <w:p w14:paraId="6424BCD6"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2A8C8EB2" w14:textId="77777777" w:rsidTr="001708C1">
        <w:trPr>
          <w:tblHeader/>
        </w:trPr>
        <w:tc>
          <w:tcPr>
            <w:tcW w:w="5000" w:type="pct"/>
            <w:tcBorders>
              <w:top w:val="single" w:sz="6" w:space="0" w:color="78A22F"/>
              <w:left w:val="nil"/>
              <w:bottom w:val="nil"/>
              <w:right w:val="nil"/>
            </w:tcBorders>
            <w:shd w:val="clear" w:color="auto" w:fill="F2F2F2"/>
          </w:tcPr>
          <w:p w14:paraId="706D4212" w14:textId="3333E5CF" w:rsidR="00C277BC" w:rsidRDefault="00C277BC" w:rsidP="001708C1">
            <w:pPr>
              <w:pStyle w:val="BoxTitle"/>
            </w:pPr>
            <w:r>
              <w:rPr>
                <w:b w:val="0"/>
              </w:rPr>
              <w:t>Box 6.5</w:t>
            </w:r>
            <w:r>
              <w:tab/>
            </w:r>
            <w:r w:rsidRPr="002C51D4">
              <w:t>Magistrate</w:t>
            </w:r>
            <w:r w:rsidR="0006184E" w:rsidRPr="002C51D4">
              <w:t>s</w:t>
            </w:r>
            <w:r w:rsidR="00671768" w:rsidRPr="002C51D4">
              <w:t>’</w:t>
            </w:r>
            <w:r w:rsidRPr="002C51D4">
              <w:t xml:space="preserve"> court </w:t>
            </w:r>
            <w:r w:rsidR="0088050B" w:rsidRPr="002C51D4">
              <w:t>decisions</w:t>
            </w:r>
            <w:r w:rsidR="00631B68" w:rsidRPr="002C51D4">
              <w:t xml:space="preserve"> </w:t>
            </w:r>
            <w:r w:rsidRPr="002C51D4">
              <w:t xml:space="preserve">resulting in a guilty </w:t>
            </w:r>
            <w:r w:rsidR="00364C97" w:rsidRPr="002C51D4">
              <w:t xml:space="preserve">outcome </w:t>
            </w:r>
            <w:r w:rsidR="00A61ACA" w:rsidRPr="002C51D4">
              <w:t>for defend</w:t>
            </w:r>
            <w:r w:rsidR="006E6D2A" w:rsidRPr="002C51D4">
              <w:t>ants</w:t>
            </w:r>
          </w:p>
        </w:tc>
      </w:tr>
      <w:tr w:rsidR="00C277BC" w14:paraId="00F29C15" w14:textId="77777777" w:rsidTr="001708C1">
        <w:tc>
          <w:tcPr>
            <w:tcW w:w="5000" w:type="pct"/>
            <w:tcBorders>
              <w:top w:val="nil"/>
              <w:left w:val="nil"/>
              <w:bottom w:val="nil"/>
              <w:right w:val="nil"/>
            </w:tcBorders>
            <w:shd w:val="clear" w:color="auto" w:fill="F2F2F2"/>
          </w:tcPr>
          <w:p w14:paraId="6D4B1AB4" w14:textId="26271A29" w:rsidR="00C277BC" w:rsidRPr="002C51D4" w:rsidRDefault="00C277BC" w:rsidP="001708C1">
            <w:pPr>
              <w:pStyle w:val="Box"/>
            </w:pPr>
            <w:r w:rsidRPr="002C51D4">
              <w:t>‘Magistrates</w:t>
            </w:r>
            <w:r w:rsidR="0006184E" w:rsidRPr="002C51D4">
              <w:t>’</w:t>
            </w:r>
            <w:r w:rsidRPr="002C51D4">
              <w:t xml:space="preserve"> court </w:t>
            </w:r>
            <w:r w:rsidR="00514DA8" w:rsidRPr="002C51D4">
              <w:t>decisions</w:t>
            </w:r>
            <w:r w:rsidR="00631B68" w:rsidRPr="002C51D4">
              <w:t xml:space="preserve"> </w:t>
            </w:r>
            <w:r w:rsidRPr="002C51D4">
              <w:t xml:space="preserve">resulting in a guilty </w:t>
            </w:r>
            <w:r w:rsidR="00364C97" w:rsidRPr="002C51D4">
              <w:t xml:space="preserve">outcome </w:t>
            </w:r>
            <w:r w:rsidR="00FE6B03" w:rsidRPr="002C51D4">
              <w:t xml:space="preserve">for defendants’ </w:t>
            </w:r>
            <w:r w:rsidRPr="002C51D4">
              <w:t xml:space="preserve">is defined as the </w:t>
            </w:r>
            <w:r w:rsidR="00364C97" w:rsidRPr="002C51D4">
              <w:t xml:space="preserve">proportion of </w:t>
            </w:r>
            <w:r w:rsidR="006F4431">
              <w:t>M</w:t>
            </w:r>
            <w:r w:rsidR="00364C97" w:rsidRPr="002C51D4">
              <w:t>agistrate</w:t>
            </w:r>
            <w:r w:rsidR="0006184E" w:rsidRPr="002C51D4">
              <w:t>s’</w:t>
            </w:r>
            <w:r w:rsidR="00364C97" w:rsidRPr="002C51D4">
              <w:t xml:space="preserve"> court adjudicat</w:t>
            </w:r>
            <w:r w:rsidR="003810FA" w:rsidRPr="002C51D4">
              <w:t>ions where the</w:t>
            </w:r>
            <w:r w:rsidR="00514DA8" w:rsidRPr="002C51D4">
              <w:t xml:space="preserve"> outcome was that the defendant pled guilty, was found guilty by the court or was found guilty ex</w:t>
            </w:r>
            <w:r w:rsidR="008735A5">
              <w:noBreakHyphen/>
            </w:r>
            <w:r w:rsidR="00514DA8" w:rsidRPr="002C51D4">
              <w:t>parte</w:t>
            </w:r>
            <w:r w:rsidR="003810FA" w:rsidRPr="002C51D4">
              <w:t>.</w:t>
            </w:r>
            <w:r w:rsidR="0088050B" w:rsidRPr="002C51D4">
              <w:t xml:space="preserve"> The defendant is a person or organisation against whom one or more criminal charges have been laid.</w:t>
            </w:r>
          </w:p>
          <w:p w14:paraId="754C55A3" w14:textId="6A760969" w:rsidR="00C277BC" w:rsidRPr="002C51D4" w:rsidRDefault="00C277BC" w:rsidP="001708C1">
            <w:pPr>
              <w:pStyle w:val="Box"/>
            </w:pPr>
            <w:r w:rsidRPr="002C51D4">
              <w:t xml:space="preserve">A high or increasing proportion of </w:t>
            </w:r>
            <w:r w:rsidR="006F4431">
              <w:t>M</w:t>
            </w:r>
            <w:r w:rsidRPr="002C51D4">
              <w:t>agistrates</w:t>
            </w:r>
            <w:r w:rsidR="0006184E" w:rsidRPr="002C51D4">
              <w:t>’</w:t>
            </w:r>
            <w:r w:rsidRPr="002C51D4">
              <w:t xml:space="preserve"> court </w:t>
            </w:r>
            <w:r w:rsidR="00514DA8" w:rsidRPr="002C51D4">
              <w:t>decisions</w:t>
            </w:r>
            <w:r w:rsidR="003810FA" w:rsidRPr="002C51D4">
              <w:t xml:space="preserve"> where the outcome</w:t>
            </w:r>
            <w:r w:rsidR="003810FA" w:rsidRPr="002C51D4" w:rsidDel="003810FA">
              <w:t xml:space="preserve"> </w:t>
            </w:r>
            <w:r w:rsidR="003810FA" w:rsidRPr="002C51D4">
              <w:t xml:space="preserve">for the </w:t>
            </w:r>
            <w:r w:rsidRPr="002C51D4">
              <w:t xml:space="preserve">defendant </w:t>
            </w:r>
            <w:r w:rsidR="003810FA" w:rsidRPr="002C51D4">
              <w:t>is</w:t>
            </w:r>
            <w:r w:rsidR="00215CEB" w:rsidRPr="002C51D4">
              <w:t xml:space="preserve"> guilty </w:t>
            </w:r>
            <w:r w:rsidRPr="002C51D4">
              <w:t>is desirable.</w:t>
            </w:r>
            <w:r w:rsidR="003810FA" w:rsidRPr="002C51D4">
              <w:t xml:space="preserve"> </w:t>
            </w:r>
            <w:r w:rsidR="00671768" w:rsidRPr="002C51D4">
              <w:t>This</w:t>
            </w:r>
            <w:r w:rsidR="00666797" w:rsidRPr="002C51D4">
              <w:t xml:space="preserve"> can </w:t>
            </w:r>
            <w:r w:rsidR="00671768" w:rsidRPr="002C51D4">
              <w:t>indicate police were effective in gathering evidence and only bringing to court charges with sufficient evidence to ensure a guilty outcome.</w:t>
            </w:r>
          </w:p>
          <w:p w14:paraId="0C7E3DF0" w14:textId="3258F3BC" w:rsidR="00C277BC" w:rsidRDefault="00C277BC" w:rsidP="001708C1">
            <w:pPr>
              <w:pStyle w:val="Box"/>
            </w:pPr>
            <w:r w:rsidRPr="002C51D4">
              <w:t xml:space="preserve">This indicator does not provide information on the number of cases where police have identified a likely offender but choose not to bring the likely offender to court due to </w:t>
            </w:r>
            <w:r w:rsidR="00AB381E" w:rsidRPr="002C51D4">
              <w:t>several</w:t>
            </w:r>
            <w:r w:rsidRPr="002C51D4">
              <w:t xml:space="preserve"> factors.</w:t>
            </w:r>
          </w:p>
          <w:p w14:paraId="621ACD11" w14:textId="77777777" w:rsidR="00C277BC" w:rsidRDefault="00C277BC" w:rsidP="001708C1">
            <w:pPr>
              <w:pStyle w:val="Box"/>
            </w:pPr>
            <w:r>
              <w:t>Data reported for this measure are:</w:t>
            </w:r>
          </w:p>
          <w:p w14:paraId="3939FDD0" w14:textId="77777777"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p>
          <w:p w14:paraId="00CAD8FA" w14:textId="5AE79D24" w:rsidR="00C277BC" w:rsidRDefault="00C277BC" w:rsidP="0079764D">
            <w:pPr>
              <w:pStyle w:val="BoxListBullet"/>
              <w:numPr>
                <w:ilvl w:val="0"/>
                <w:numId w:val="0"/>
              </w:numPr>
              <w:ind w:left="284"/>
            </w:pPr>
            <w:r w:rsidRPr="009273A9">
              <w:rPr>
                <w:shd w:val="clear" w:color="auto" w:fill="F15A25"/>
              </w:rPr>
              <w:t xml:space="preserve">    </w:t>
            </w:r>
            <w:r>
              <w:t xml:space="preserve"> complete (subject to caveats) for the current reporting period. </w:t>
            </w:r>
            <w:r w:rsidRPr="002C51D4">
              <w:t xml:space="preserve">All required </w:t>
            </w:r>
            <w:r w:rsidRPr="00AC4DF4">
              <w:t>20</w:t>
            </w:r>
            <w:r w:rsidR="00011ABA" w:rsidRPr="00AC4DF4">
              <w:t>20</w:t>
            </w:r>
            <w:r w:rsidR="008735A5" w:rsidRPr="00AC4DF4">
              <w:noBreakHyphen/>
            </w:r>
            <w:r w:rsidR="00F619CD" w:rsidRPr="00AC4DF4">
              <w:t>2</w:t>
            </w:r>
            <w:r w:rsidR="00011ABA" w:rsidRPr="00AC4DF4">
              <w:t>1</w:t>
            </w:r>
            <w:r w:rsidRPr="002C51D4">
              <w:t xml:space="preserve"> data are available for all jurisdictions.</w:t>
            </w:r>
          </w:p>
        </w:tc>
      </w:tr>
      <w:tr w:rsidR="00C277BC" w14:paraId="0807CD20" w14:textId="77777777" w:rsidTr="001708C1">
        <w:tc>
          <w:tcPr>
            <w:tcW w:w="5000" w:type="pct"/>
            <w:tcBorders>
              <w:top w:val="nil"/>
              <w:left w:val="nil"/>
              <w:bottom w:val="single" w:sz="6" w:space="0" w:color="78A22F"/>
              <w:right w:val="nil"/>
            </w:tcBorders>
            <w:shd w:val="clear" w:color="auto" w:fill="F2F2F2"/>
          </w:tcPr>
          <w:p w14:paraId="765A7A03" w14:textId="77777777" w:rsidR="00C277BC" w:rsidRDefault="00C277BC" w:rsidP="001708C1">
            <w:pPr>
              <w:pStyle w:val="Box"/>
              <w:spacing w:before="0" w:line="120" w:lineRule="exact"/>
            </w:pPr>
          </w:p>
        </w:tc>
      </w:tr>
      <w:tr w:rsidR="00C277BC" w:rsidRPr="000863A5" w14:paraId="0ADBE4D9" w14:textId="77777777" w:rsidTr="001708C1">
        <w:tc>
          <w:tcPr>
            <w:tcW w:w="5000" w:type="pct"/>
            <w:tcBorders>
              <w:top w:val="single" w:sz="6" w:space="0" w:color="78A22F"/>
              <w:left w:val="nil"/>
              <w:bottom w:val="nil"/>
              <w:right w:val="nil"/>
            </w:tcBorders>
          </w:tcPr>
          <w:p w14:paraId="2E54EB84" w14:textId="77777777" w:rsidR="00C277BC" w:rsidRPr="00626D32" w:rsidRDefault="00C277BC" w:rsidP="001708C1">
            <w:pPr>
              <w:pStyle w:val="BoxSpaceBelow"/>
            </w:pPr>
          </w:p>
        </w:tc>
      </w:tr>
    </w:tbl>
    <w:p w14:paraId="7F84D0DE" w14:textId="2552BACE" w:rsidR="007324C4" w:rsidRDefault="007324C4">
      <w:pPr>
        <w:rPr>
          <w:rFonts w:ascii="Arial" w:hAnsi="Arial"/>
          <w:szCs w:val="20"/>
        </w:rPr>
      </w:pPr>
      <w:bookmarkStart w:id="14" w:name="_Toc22029150"/>
    </w:p>
    <w:p w14:paraId="30E70DA8" w14:textId="61E3E995" w:rsidR="00C277BC" w:rsidRDefault="00C277BC" w:rsidP="00C277BC">
      <w:pPr>
        <w:pStyle w:val="Heading4"/>
      </w:pPr>
      <w:r w:rsidRPr="007F2040">
        <w:t>Satisfaction with police services</w:t>
      </w:r>
      <w:bookmarkEnd w:id="14"/>
    </w:p>
    <w:p w14:paraId="2B03C20B" w14:textId="352B5D54" w:rsidR="00C277BC" w:rsidRPr="00F2238A" w:rsidRDefault="00C277BC" w:rsidP="00C277BC">
      <w:pPr>
        <w:pStyle w:val="BodyText"/>
      </w:pPr>
      <w:r>
        <w:t>‘Satisfaction with police services’ is an indicator of governments’ objective of providing services that are accessible and responsive to community needs, including disasters and emergencies (box</w:t>
      </w:r>
      <w:r w:rsidR="008D44F2">
        <w:t> </w:t>
      </w:r>
      <w:r>
        <w:t>6.6).</w:t>
      </w:r>
    </w:p>
    <w:p w14:paraId="4A37FBEF"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139848D7" w14:textId="77777777" w:rsidTr="001708C1">
        <w:trPr>
          <w:tblHeader/>
        </w:trPr>
        <w:tc>
          <w:tcPr>
            <w:tcW w:w="5000" w:type="pct"/>
            <w:tcBorders>
              <w:top w:val="single" w:sz="6" w:space="0" w:color="78A22F"/>
              <w:left w:val="nil"/>
              <w:bottom w:val="nil"/>
              <w:right w:val="nil"/>
            </w:tcBorders>
            <w:shd w:val="clear" w:color="auto" w:fill="F2F2F2"/>
          </w:tcPr>
          <w:p w14:paraId="60C8D4CB" w14:textId="77777777" w:rsidR="00C277BC" w:rsidRDefault="00C277BC" w:rsidP="001708C1">
            <w:pPr>
              <w:pStyle w:val="BoxTitle"/>
            </w:pPr>
            <w:r>
              <w:rPr>
                <w:b w:val="0"/>
              </w:rPr>
              <w:t>Box 6.6</w:t>
            </w:r>
            <w:r>
              <w:tab/>
            </w:r>
            <w:r w:rsidRPr="002D6222">
              <w:rPr>
                <w:color w:val="000000" w:themeColor="text1"/>
              </w:rPr>
              <w:t>Satisfaction with police services</w:t>
            </w:r>
          </w:p>
        </w:tc>
      </w:tr>
      <w:tr w:rsidR="00C277BC" w14:paraId="0487562B" w14:textId="77777777" w:rsidTr="001708C1">
        <w:tc>
          <w:tcPr>
            <w:tcW w:w="5000" w:type="pct"/>
            <w:tcBorders>
              <w:top w:val="nil"/>
              <w:left w:val="nil"/>
              <w:bottom w:val="nil"/>
              <w:right w:val="nil"/>
            </w:tcBorders>
            <w:shd w:val="clear" w:color="auto" w:fill="F2F2F2"/>
          </w:tcPr>
          <w:p w14:paraId="542F1275" w14:textId="2B7A31D7" w:rsidR="00C277BC" w:rsidRPr="00156039" w:rsidRDefault="00C277BC" w:rsidP="001708C1">
            <w:pPr>
              <w:pStyle w:val="Box"/>
            </w:pPr>
            <w:r w:rsidRPr="00156039">
              <w:t>‘Satisfaction with police services’ is defined by three measures: the proportion of people who were ‘satisfied’ or ‘very satisfied’ with police services:</w:t>
            </w:r>
          </w:p>
          <w:p w14:paraId="2CE3EEBE" w14:textId="77777777" w:rsidR="00C277BC" w:rsidRPr="001E5F05" w:rsidRDefault="00C277BC" w:rsidP="001708C1">
            <w:pPr>
              <w:pStyle w:val="BoxListBullet"/>
            </w:pPr>
            <w:r w:rsidRPr="001E5F05">
              <w:t>in general (whether or not they had contact with police services)</w:t>
            </w:r>
          </w:p>
          <w:p w14:paraId="3F4AB981" w14:textId="77777777" w:rsidR="00C277BC" w:rsidRDefault="00C277BC" w:rsidP="001708C1">
            <w:pPr>
              <w:pStyle w:val="BoxListBullet"/>
            </w:pPr>
            <w:r w:rsidRPr="001E5F05">
              <w:t>in their most recent contact</w:t>
            </w:r>
          </w:p>
          <w:p w14:paraId="30BB5278" w14:textId="77777777" w:rsidR="00C277BC" w:rsidRDefault="00C277BC" w:rsidP="001708C1">
            <w:pPr>
              <w:pStyle w:val="BoxListBullet"/>
            </w:pPr>
            <w:r>
              <w:t>in response to emergencies and disasters.</w:t>
            </w:r>
          </w:p>
          <w:p w14:paraId="15A6BD30" w14:textId="03976A45" w:rsidR="000D4755" w:rsidRDefault="002E6A08" w:rsidP="001708C1">
            <w:pPr>
              <w:pStyle w:val="Box"/>
            </w:pPr>
            <w:r w:rsidRPr="00275210">
              <w:t>The population scope for the data reported is the total population aged 18 years or over. Until October 2015, it was the total population aged 15 years or over.</w:t>
            </w:r>
          </w:p>
          <w:p w14:paraId="1D579FCF" w14:textId="30041BD3" w:rsidR="00C277BC" w:rsidRDefault="00C277BC" w:rsidP="001708C1">
            <w:pPr>
              <w:pStyle w:val="Box"/>
            </w:pPr>
            <w:r w:rsidRPr="006C3EDB">
              <w:t>A high or increasing proportion of people who were ‘satisfied’ or ‘very satisfied’ is desirable.</w:t>
            </w:r>
          </w:p>
          <w:p w14:paraId="459A9659" w14:textId="77777777" w:rsidR="00C277BC" w:rsidRDefault="00C277BC" w:rsidP="001708C1">
            <w:pPr>
              <w:pStyle w:val="Box"/>
            </w:pPr>
            <w:r>
              <w:t>Data reported for these measures are:</w:t>
            </w:r>
          </w:p>
          <w:p w14:paraId="5686BF7A" w14:textId="77777777"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0A6CA1C9" w14:textId="71009B9A"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20</w:t>
            </w:r>
            <w:r w:rsidR="000D4755">
              <w:t>20</w:t>
            </w:r>
            <w:r w:rsidR="008735A5">
              <w:noBreakHyphen/>
            </w:r>
            <w:r w:rsidR="00510790">
              <w:t>2</w:t>
            </w:r>
            <w:r w:rsidR="000D4755">
              <w:t>1</w:t>
            </w:r>
            <w:r>
              <w:t xml:space="preserve"> </w:t>
            </w:r>
            <w:r w:rsidRPr="009442FD">
              <w:t>data are available for all jurisdictions</w:t>
            </w:r>
            <w:r>
              <w:t>.</w:t>
            </w:r>
          </w:p>
        </w:tc>
      </w:tr>
      <w:tr w:rsidR="00C277BC" w14:paraId="6AFE8ADB" w14:textId="77777777" w:rsidTr="001708C1">
        <w:tc>
          <w:tcPr>
            <w:tcW w:w="5000" w:type="pct"/>
            <w:tcBorders>
              <w:top w:val="nil"/>
              <w:left w:val="nil"/>
              <w:bottom w:val="single" w:sz="6" w:space="0" w:color="78A22F"/>
              <w:right w:val="nil"/>
            </w:tcBorders>
            <w:shd w:val="clear" w:color="auto" w:fill="F2F2F2"/>
          </w:tcPr>
          <w:p w14:paraId="5701614C" w14:textId="77777777" w:rsidR="00C277BC" w:rsidRDefault="00C277BC" w:rsidP="001708C1">
            <w:pPr>
              <w:pStyle w:val="Box"/>
              <w:spacing w:before="0" w:line="120" w:lineRule="exact"/>
            </w:pPr>
          </w:p>
        </w:tc>
      </w:tr>
      <w:tr w:rsidR="00C277BC" w:rsidRPr="000863A5" w14:paraId="29132E4C" w14:textId="77777777" w:rsidTr="001708C1">
        <w:tc>
          <w:tcPr>
            <w:tcW w:w="5000" w:type="pct"/>
            <w:tcBorders>
              <w:top w:val="single" w:sz="6" w:space="0" w:color="78A22F"/>
              <w:left w:val="nil"/>
              <w:bottom w:val="nil"/>
              <w:right w:val="nil"/>
            </w:tcBorders>
          </w:tcPr>
          <w:p w14:paraId="4221E321" w14:textId="77777777" w:rsidR="00C277BC" w:rsidRPr="00626D32" w:rsidRDefault="00C277BC" w:rsidP="001708C1">
            <w:pPr>
              <w:pStyle w:val="BoxSpaceBelow"/>
            </w:pPr>
          </w:p>
        </w:tc>
      </w:tr>
    </w:tbl>
    <w:p w14:paraId="5FE3F41F" w14:textId="3EAC1482" w:rsidR="00C277BC" w:rsidRDefault="00C277BC" w:rsidP="00C277BC">
      <w:pPr>
        <w:pStyle w:val="Heading4"/>
        <w:spacing w:before="360"/>
      </w:pPr>
      <w:bookmarkStart w:id="15" w:name="_Toc22029151"/>
      <w:r>
        <w:t>Perceptions of police integrity</w:t>
      </w:r>
      <w:bookmarkEnd w:id="15"/>
    </w:p>
    <w:p w14:paraId="47193349" w14:textId="5D5184E3" w:rsidR="00C277BC" w:rsidRPr="0046289B" w:rsidRDefault="00C277BC" w:rsidP="00C277BC">
      <w:pPr>
        <w:pStyle w:val="BodyText"/>
      </w:pPr>
      <w:r>
        <w:t xml:space="preserve">‘Perceptions of police integrity’ is an indicator of governments’ objective to provide services with </w:t>
      </w:r>
      <w:r w:rsidRPr="00AC474D">
        <w:t>integrity, honesty and fairness</w:t>
      </w:r>
      <w:r>
        <w:t xml:space="preserve"> (box</w:t>
      </w:r>
      <w:r w:rsidR="008D44F2">
        <w:t> </w:t>
      </w:r>
      <w:r>
        <w:t>6.7).</w:t>
      </w:r>
    </w:p>
    <w:p w14:paraId="2CD1522F"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4BE8E6E8" w14:textId="77777777" w:rsidTr="001708C1">
        <w:trPr>
          <w:tblHeader/>
        </w:trPr>
        <w:tc>
          <w:tcPr>
            <w:tcW w:w="5000" w:type="pct"/>
            <w:tcBorders>
              <w:top w:val="single" w:sz="6" w:space="0" w:color="78A22F"/>
              <w:left w:val="nil"/>
              <w:bottom w:val="nil"/>
              <w:right w:val="nil"/>
            </w:tcBorders>
            <w:shd w:val="clear" w:color="auto" w:fill="F2F2F2"/>
          </w:tcPr>
          <w:p w14:paraId="754AA6AB" w14:textId="77777777" w:rsidR="00C277BC" w:rsidRDefault="00C277BC" w:rsidP="001708C1">
            <w:pPr>
              <w:pStyle w:val="BoxTitle"/>
            </w:pPr>
            <w:r>
              <w:rPr>
                <w:b w:val="0"/>
              </w:rPr>
              <w:t>Box 6.7</w:t>
            </w:r>
            <w:r>
              <w:tab/>
            </w:r>
            <w:r w:rsidRPr="00F477FE">
              <w:t>Perceptions of police integrity</w:t>
            </w:r>
          </w:p>
        </w:tc>
      </w:tr>
      <w:tr w:rsidR="00C277BC" w14:paraId="4D733FA4" w14:textId="77777777" w:rsidTr="001708C1">
        <w:tc>
          <w:tcPr>
            <w:tcW w:w="5000" w:type="pct"/>
            <w:tcBorders>
              <w:top w:val="nil"/>
              <w:left w:val="nil"/>
              <w:bottom w:val="nil"/>
              <w:right w:val="nil"/>
            </w:tcBorders>
            <w:shd w:val="clear" w:color="auto" w:fill="F2F2F2"/>
          </w:tcPr>
          <w:p w14:paraId="40EF24A1" w14:textId="2CC0E31E" w:rsidR="00C277BC" w:rsidRDefault="00C277BC" w:rsidP="001708C1">
            <w:pPr>
              <w:pStyle w:val="Box"/>
            </w:pPr>
            <w:r>
              <w:t xml:space="preserve">‘Perceptions of police integrity’ refers to public perceptions and is defined by three </w:t>
            </w:r>
            <w:r w:rsidRPr="00FC5080">
              <w:t>measures</w:t>
            </w:r>
            <w:r w:rsidR="00F92C5A">
              <w:t xml:space="preserve"> – t</w:t>
            </w:r>
            <w:r w:rsidRPr="00FC5080">
              <w:t>he proportion of people</w:t>
            </w:r>
            <w:r>
              <w:t xml:space="preserve"> who ‘agreed’ or ‘strongly agreed’ that police: </w:t>
            </w:r>
          </w:p>
          <w:p w14:paraId="315CFFDE" w14:textId="77777777" w:rsidR="00C277BC" w:rsidRDefault="00C277BC" w:rsidP="001708C1">
            <w:pPr>
              <w:pStyle w:val="BoxListBullet"/>
            </w:pPr>
            <w:r>
              <w:t>treat people fairly and equally</w:t>
            </w:r>
          </w:p>
          <w:p w14:paraId="57D0B725" w14:textId="77777777" w:rsidR="00C277BC" w:rsidRDefault="00C277BC" w:rsidP="001708C1">
            <w:pPr>
              <w:pStyle w:val="BoxListBullet"/>
            </w:pPr>
            <w:r>
              <w:t>perform their job professionally</w:t>
            </w:r>
          </w:p>
          <w:p w14:paraId="7D0EFBED" w14:textId="77777777" w:rsidR="00C277BC" w:rsidRDefault="00C277BC" w:rsidP="001708C1">
            <w:pPr>
              <w:pStyle w:val="BoxListBullet"/>
            </w:pPr>
            <w:r>
              <w:t>are honest.</w:t>
            </w:r>
          </w:p>
          <w:p w14:paraId="6397E0C3" w14:textId="08C06A8A" w:rsidR="00113AD3" w:rsidRDefault="002E6A08" w:rsidP="00113AD3">
            <w:pPr>
              <w:pStyle w:val="Box"/>
            </w:pPr>
            <w:r w:rsidRPr="00275210">
              <w:t>The population scope for the data reported is the total population aged 18 years or over. Until October 2015, it was the total population aged 15 years or over.</w:t>
            </w:r>
          </w:p>
          <w:p w14:paraId="42E3AC1B" w14:textId="600CB85C" w:rsidR="00C277BC" w:rsidRPr="00E33DB3" w:rsidRDefault="00C277BC" w:rsidP="001708C1">
            <w:pPr>
              <w:pStyle w:val="Box"/>
            </w:pPr>
            <w:r>
              <w:t xml:space="preserve">A high or increasing proportion of people who ‘agreed’ or ‘strongly agreed’ with these statements is </w:t>
            </w:r>
            <w:r w:rsidRPr="00E33DB3">
              <w:t>desirable.</w:t>
            </w:r>
          </w:p>
          <w:p w14:paraId="334E6F23" w14:textId="77777777" w:rsidR="00C277BC" w:rsidRDefault="00C277BC" w:rsidP="001708C1">
            <w:pPr>
              <w:pStyle w:val="Box"/>
            </w:pPr>
            <w:r w:rsidRPr="00E33DB3">
              <w:t>Public perceptions might not reflect actual levels of police integrity, because many factors, including hearsay and media reporting, might influence people’s perceptions of police integrity</w:t>
            </w:r>
            <w:r>
              <w:t>.</w:t>
            </w:r>
          </w:p>
          <w:p w14:paraId="630A57B2" w14:textId="77777777" w:rsidR="00C277BC" w:rsidRDefault="00C277BC" w:rsidP="001708C1">
            <w:pPr>
              <w:pStyle w:val="Box"/>
            </w:pPr>
            <w:r>
              <w:t>Data reported for these measures are:</w:t>
            </w:r>
          </w:p>
          <w:p w14:paraId="1ED33A88" w14:textId="77777777"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28793858" w14:textId="1ED5AB2E"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20</w:t>
            </w:r>
            <w:r w:rsidR="009824EA">
              <w:t>20</w:t>
            </w:r>
            <w:r w:rsidR="008735A5">
              <w:noBreakHyphen/>
            </w:r>
            <w:r w:rsidR="00510790">
              <w:t>2</w:t>
            </w:r>
            <w:r w:rsidR="009824EA">
              <w:t>1</w:t>
            </w:r>
            <w:r>
              <w:t xml:space="preserve"> </w:t>
            </w:r>
            <w:r w:rsidRPr="009442FD">
              <w:t>data are available for all jurisdictions</w:t>
            </w:r>
            <w:r>
              <w:t>.</w:t>
            </w:r>
          </w:p>
        </w:tc>
      </w:tr>
      <w:tr w:rsidR="00C277BC" w14:paraId="6BA68D42" w14:textId="77777777" w:rsidTr="001708C1">
        <w:tc>
          <w:tcPr>
            <w:tcW w:w="5000" w:type="pct"/>
            <w:tcBorders>
              <w:top w:val="nil"/>
              <w:left w:val="nil"/>
              <w:bottom w:val="single" w:sz="6" w:space="0" w:color="78A22F"/>
              <w:right w:val="nil"/>
            </w:tcBorders>
            <w:shd w:val="clear" w:color="auto" w:fill="F2F2F2"/>
          </w:tcPr>
          <w:p w14:paraId="595D4ED8" w14:textId="77777777" w:rsidR="00C277BC" w:rsidRDefault="00C277BC" w:rsidP="001708C1">
            <w:pPr>
              <w:pStyle w:val="Box"/>
              <w:spacing w:before="0" w:line="120" w:lineRule="exact"/>
            </w:pPr>
          </w:p>
        </w:tc>
      </w:tr>
      <w:tr w:rsidR="00C277BC" w:rsidRPr="000863A5" w14:paraId="02C1D170" w14:textId="77777777" w:rsidTr="001708C1">
        <w:tc>
          <w:tcPr>
            <w:tcW w:w="5000" w:type="pct"/>
            <w:tcBorders>
              <w:top w:val="single" w:sz="6" w:space="0" w:color="78A22F"/>
              <w:left w:val="nil"/>
              <w:bottom w:val="nil"/>
              <w:right w:val="nil"/>
            </w:tcBorders>
          </w:tcPr>
          <w:p w14:paraId="6F86002E" w14:textId="77777777" w:rsidR="00C277BC" w:rsidRPr="00626D32" w:rsidRDefault="00C277BC" w:rsidP="001708C1">
            <w:pPr>
              <w:pStyle w:val="BoxSpaceBelow"/>
            </w:pPr>
          </w:p>
        </w:tc>
      </w:tr>
    </w:tbl>
    <w:p w14:paraId="608C5861" w14:textId="5C059FCA" w:rsidR="00C277BC" w:rsidRDefault="00C277BC" w:rsidP="00C277BC">
      <w:pPr>
        <w:pStyle w:val="Heading4"/>
      </w:pPr>
      <w:bookmarkStart w:id="16" w:name="_Toc22029152"/>
      <w:r>
        <w:lastRenderedPageBreak/>
        <w:t>Complaints</w:t>
      </w:r>
      <w:bookmarkEnd w:id="16"/>
    </w:p>
    <w:p w14:paraId="03275EE8" w14:textId="62ACA7CB" w:rsidR="00C277BC" w:rsidRDefault="00C277BC" w:rsidP="00C277BC">
      <w:pPr>
        <w:pStyle w:val="BodyText"/>
        <w:rPr>
          <w:color w:val="000000" w:themeColor="text1"/>
        </w:rPr>
      </w:pPr>
      <w:r w:rsidRPr="009C76BC">
        <w:rPr>
          <w:color w:val="000000" w:themeColor="text1"/>
        </w:rPr>
        <w:t xml:space="preserve">‘Complaints’ is an indicator of governments’ objective to </w:t>
      </w:r>
      <w:r w:rsidRPr="0028571A">
        <w:rPr>
          <w:color w:val="000000" w:themeColor="text1"/>
        </w:rPr>
        <w:t>provide services with integrity, honesty and fairness (box</w:t>
      </w:r>
      <w:r w:rsidR="008D44F2">
        <w:rPr>
          <w:color w:val="000000" w:themeColor="text1"/>
        </w:rPr>
        <w:t> </w:t>
      </w:r>
      <w:r w:rsidRPr="0028571A">
        <w:rPr>
          <w:color w:val="000000" w:themeColor="text1"/>
        </w:rPr>
        <w:t>6.</w:t>
      </w:r>
      <w:r>
        <w:rPr>
          <w:color w:val="000000" w:themeColor="text1"/>
        </w:rPr>
        <w:t>8</w:t>
      </w:r>
      <w:r w:rsidRPr="0028571A">
        <w:rPr>
          <w:color w:val="000000" w:themeColor="text1"/>
        </w:rPr>
        <w:t>).</w:t>
      </w:r>
    </w:p>
    <w:p w14:paraId="18709059"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0D3AB0C6" w14:textId="77777777" w:rsidTr="001708C1">
        <w:trPr>
          <w:tblHeader/>
        </w:trPr>
        <w:tc>
          <w:tcPr>
            <w:tcW w:w="5000" w:type="pct"/>
            <w:tcBorders>
              <w:top w:val="single" w:sz="6" w:space="0" w:color="78A22F"/>
              <w:left w:val="nil"/>
              <w:bottom w:val="nil"/>
              <w:right w:val="nil"/>
            </w:tcBorders>
            <w:shd w:val="clear" w:color="auto" w:fill="F2F2F2"/>
          </w:tcPr>
          <w:p w14:paraId="315E644D" w14:textId="77777777" w:rsidR="00C277BC" w:rsidRDefault="00C277BC" w:rsidP="001708C1">
            <w:pPr>
              <w:pStyle w:val="BoxTitle"/>
            </w:pPr>
            <w:r>
              <w:rPr>
                <w:b w:val="0"/>
              </w:rPr>
              <w:t>Box 6.8</w:t>
            </w:r>
            <w:r>
              <w:tab/>
              <w:t>Complaints</w:t>
            </w:r>
          </w:p>
        </w:tc>
      </w:tr>
      <w:tr w:rsidR="00C277BC" w14:paraId="3A2B345F" w14:textId="77777777" w:rsidTr="001708C1">
        <w:tc>
          <w:tcPr>
            <w:tcW w:w="5000" w:type="pct"/>
            <w:tcBorders>
              <w:top w:val="nil"/>
              <w:left w:val="nil"/>
              <w:bottom w:val="nil"/>
              <w:right w:val="nil"/>
            </w:tcBorders>
            <w:shd w:val="clear" w:color="auto" w:fill="F2F2F2"/>
          </w:tcPr>
          <w:p w14:paraId="1F9C4465" w14:textId="69547ACD" w:rsidR="00C277BC" w:rsidRDefault="00C277BC" w:rsidP="001708C1">
            <w:pPr>
              <w:pStyle w:val="Box"/>
            </w:pPr>
            <w:r>
              <w:t xml:space="preserve">‘Complaints’ is defined as the </w:t>
            </w:r>
            <w:r w:rsidR="00B23B2F" w:rsidRPr="00275210">
              <w:t>rate of complaints against police by the public per 100</w:t>
            </w:r>
            <w:r w:rsidR="004738EC">
              <w:t> </w:t>
            </w:r>
            <w:r w:rsidR="00B23B2F" w:rsidRPr="00275210">
              <w:t>000 people in the population.</w:t>
            </w:r>
            <w:r w:rsidR="00A97B49">
              <w:t xml:space="preserve"> </w:t>
            </w:r>
            <w:r w:rsidR="00A97B49" w:rsidRPr="00275210">
              <w:t xml:space="preserve">It is expressed </w:t>
            </w:r>
            <w:r w:rsidR="005E2728" w:rsidRPr="00275210">
              <w:t>as an index comparing values over time to a base period allocated a value of 100.</w:t>
            </w:r>
            <w:r>
              <w:t xml:space="preserve"> </w:t>
            </w:r>
          </w:p>
          <w:p w14:paraId="7350DA78" w14:textId="6CC95376" w:rsidR="00554350" w:rsidRPr="00275210" w:rsidRDefault="00554350" w:rsidP="00554350">
            <w:pPr>
              <w:pStyle w:val="Box"/>
            </w:pPr>
            <w:r w:rsidRPr="00275210">
              <w:t xml:space="preserve">Complaints includes statements (written or verbal) by members of the public regarding police conduct when a person was in police custody or had voluntary </w:t>
            </w:r>
            <w:r w:rsidR="003B2675" w:rsidRPr="00275210">
              <w:t xml:space="preserve">or involuntary </w:t>
            </w:r>
            <w:r w:rsidRPr="00275210">
              <w:t>dealing with the police. They include sustained complaints, withdrawn complaints, dismissed complaints, and unresolved complaints, whether they are handled internally to the police service or by an external agency.</w:t>
            </w:r>
          </w:p>
          <w:p w14:paraId="48F88D77" w14:textId="55149241" w:rsidR="00C277BC" w:rsidRPr="00B73ACF" w:rsidRDefault="00C277BC" w:rsidP="001708C1">
            <w:pPr>
              <w:pStyle w:val="Box"/>
            </w:pPr>
            <w:r w:rsidRPr="00B73ACF">
              <w:t xml:space="preserve">A low or decreasing </w:t>
            </w:r>
            <w:r w:rsidR="005E3BC3" w:rsidRPr="00275210">
              <w:t>index score</w:t>
            </w:r>
            <w:r w:rsidR="00D63F0E">
              <w:t xml:space="preserve"> </w:t>
            </w:r>
            <w:r w:rsidRPr="00B73ACF">
              <w:t>is desirable.</w:t>
            </w:r>
          </w:p>
          <w:p w14:paraId="0257DF9B" w14:textId="51ED28DD" w:rsidR="00C277BC" w:rsidRDefault="00C277BC" w:rsidP="001708C1">
            <w:pPr>
              <w:pStyle w:val="Box"/>
            </w:pPr>
            <w:r w:rsidRPr="00517609">
              <w:t xml:space="preserve">A high or increasing </w:t>
            </w:r>
            <w:r w:rsidR="006C17AD">
              <w:t>index score</w:t>
            </w:r>
            <w:r w:rsidRPr="00517609">
              <w:t xml:space="preserve"> does not necessarily indicate a lack of confidence in police. It can indicate greater confidence in complaints resolution. It is desirable to monitor changes in the </w:t>
            </w:r>
            <w:r w:rsidR="006C17AD">
              <w:t>index score</w:t>
            </w:r>
            <w:r w:rsidRPr="00517609">
              <w:t xml:space="preserve"> to identify reasons for the changes and use this information to improve the manner</w:t>
            </w:r>
            <w:r w:rsidR="00BC134A">
              <w:t xml:space="preserve"> </w:t>
            </w:r>
            <w:r w:rsidRPr="00517609">
              <w:t>in which police services are delivered.</w:t>
            </w:r>
          </w:p>
          <w:p w14:paraId="0029FAD4" w14:textId="77777777" w:rsidR="00C277BC" w:rsidRDefault="00C277BC" w:rsidP="001708C1">
            <w:pPr>
              <w:pStyle w:val="Box"/>
            </w:pPr>
            <w:r>
              <w:t>Data reported for this measure are:</w:t>
            </w:r>
          </w:p>
          <w:p w14:paraId="65884F5D" w14:textId="4450A72E" w:rsidR="00C277BC" w:rsidRDefault="00C277BC" w:rsidP="001708C1">
            <w:pPr>
              <w:pStyle w:val="BoxListBullet"/>
              <w:numPr>
                <w:ilvl w:val="0"/>
                <w:numId w:val="0"/>
              </w:numPr>
              <w:ind w:left="284"/>
            </w:pPr>
            <w:r w:rsidRPr="00344676">
              <w:rPr>
                <w:shd w:val="clear" w:color="auto" w:fill="FCDED3"/>
              </w:rPr>
              <w:t xml:space="preserve">    </w:t>
            </w:r>
            <w:r>
              <w:t xml:space="preserve"> </w:t>
            </w:r>
            <w:r w:rsidR="002627A0" w:rsidRPr="00E654EA">
              <w:t>not comparable across jurisdictions or within some jurisdictions over time</w:t>
            </w:r>
            <w:r w:rsidR="009F67D7">
              <w:t xml:space="preserve"> (see footnotes in data </w:t>
            </w:r>
            <w:r w:rsidR="002627A0">
              <w:t>tables for specific jurisdictions).</w:t>
            </w:r>
          </w:p>
          <w:p w14:paraId="3959840A" w14:textId="66FD78FE"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w:t>
            </w:r>
            <w:r>
              <w:t>e</w:t>
            </w:r>
            <w:r w:rsidRPr="009442FD">
              <w:t xml:space="preserve"> (subject to caveats)</w:t>
            </w:r>
            <w:r>
              <w:t xml:space="preserve"> </w:t>
            </w:r>
            <w:r w:rsidRPr="009442FD">
              <w:t xml:space="preserve">for the current reporting period. All required </w:t>
            </w:r>
            <w:r>
              <w:t>20</w:t>
            </w:r>
            <w:r w:rsidR="009824EA">
              <w:t>20</w:t>
            </w:r>
            <w:r w:rsidR="008735A5">
              <w:noBreakHyphen/>
            </w:r>
            <w:r w:rsidR="00510790">
              <w:t>2</w:t>
            </w:r>
            <w:r w:rsidR="009824EA">
              <w:t>1</w:t>
            </w:r>
            <w:r>
              <w:t xml:space="preserve"> </w:t>
            </w:r>
            <w:r w:rsidRPr="009442FD">
              <w:t>data are available for all jurisdictions</w:t>
            </w:r>
            <w:r>
              <w:t>.</w:t>
            </w:r>
          </w:p>
        </w:tc>
      </w:tr>
      <w:tr w:rsidR="00C277BC" w14:paraId="56292481" w14:textId="77777777" w:rsidTr="001708C1">
        <w:tc>
          <w:tcPr>
            <w:tcW w:w="5000" w:type="pct"/>
            <w:tcBorders>
              <w:top w:val="nil"/>
              <w:left w:val="nil"/>
              <w:bottom w:val="single" w:sz="6" w:space="0" w:color="78A22F"/>
              <w:right w:val="nil"/>
            </w:tcBorders>
            <w:shd w:val="clear" w:color="auto" w:fill="F2F2F2"/>
          </w:tcPr>
          <w:p w14:paraId="2684F7F4" w14:textId="77777777" w:rsidR="00C277BC" w:rsidRDefault="00C277BC" w:rsidP="001708C1">
            <w:pPr>
              <w:pStyle w:val="Box"/>
              <w:spacing w:before="0" w:line="120" w:lineRule="exact"/>
            </w:pPr>
          </w:p>
        </w:tc>
      </w:tr>
      <w:tr w:rsidR="00C277BC" w:rsidRPr="000863A5" w14:paraId="210068DF" w14:textId="77777777" w:rsidTr="001708C1">
        <w:tc>
          <w:tcPr>
            <w:tcW w:w="5000" w:type="pct"/>
            <w:tcBorders>
              <w:top w:val="single" w:sz="6" w:space="0" w:color="78A22F"/>
              <w:left w:val="nil"/>
              <w:bottom w:val="nil"/>
              <w:right w:val="nil"/>
            </w:tcBorders>
          </w:tcPr>
          <w:p w14:paraId="036A530A" w14:textId="77777777" w:rsidR="00C277BC" w:rsidRPr="00626D32" w:rsidRDefault="00C277BC" w:rsidP="001708C1">
            <w:pPr>
              <w:pStyle w:val="BoxSpaceBelow"/>
            </w:pPr>
          </w:p>
        </w:tc>
      </w:tr>
    </w:tbl>
    <w:p w14:paraId="558462D9" w14:textId="77777777" w:rsidR="00613A7F" w:rsidRDefault="00613A7F" w:rsidP="00C277BC">
      <w:pPr>
        <w:pStyle w:val="Heading4"/>
      </w:pPr>
      <w:bookmarkStart w:id="17" w:name="_Toc22029153"/>
      <w:r>
        <w:br w:type="page"/>
      </w:r>
    </w:p>
    <w:p w14:paraId="27C3FC5E" w14:textId="7DC04E2F" w:rsidR="00C277BC" w:rsidRPr="00310AA4" w:rsidRDefault="00C277BC" w:rsidP="00C277BC">
      <w:pPr>
        <w:pStyle w:val="Heading4"/>
      </w:pPr>
      <w:r>
        <w:lastRenderedPageBreak/>
        <w:t xml:space="preserve">Youth </w:t>
      </w:r>
      <w:r w:rsidRPr="00310AA4">
        <w:t>diversions</w:t>
      </w:r>
      <w:bookmarkEnd w:id="17"/>
    </w:p>
    <w:p w14:paraId="648EB141" w14:textId="752EFFE5" w:rsidR="00DB7F40" w:rsidRDefault="00C277BC" w:rsidP="00333CEA">
      <w:pPr>
        <w:pStyle w:val="BodyText"/>
      </w:pPr>
      <w:r w:rsidRPr="00310AA4">
        <w:t>‘</w:t>
      </w:r>
      <w:r>
        <w:t xml:space="preserve">Youth </w:t>
      </w:r>
      <w:r w:rsidRPr="00310AA4">
        <w:t>diversions’ is an indicator of governments’ objective of supporting the judicial process to bring to justice those people responsible for committing an offence (box</w:t>
      </w:r>
      <w:r w:rsidR="008D44F2">
        <w:t> </w:t>
      </w:r>
      <w:r w:rsidRPr="00310AA4">
        <w:t>6.</w:t>
      </w:r>
      <w:r>
        <w:t>9</w:t>
      </w:r>
      <w:r w:rsidRPr="00310AA4">
        <w:t>).</w:t>
      </w:r>
      <w:bookmarkEnd w:id="4"/>
    </w:p>
    <w:p w14:paraId="21FA7672" w14:textId="77777777" w:rsidR="00155C7F" w:rsidRDefault="00155C7F" w:rsidP="00333CEA">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2C5880E2" w14:textId="77777777" w:rsidTr="001708C1">
        <w:trPr>
          <w:tblHeader/>
        </w:trPr>
        <w:tc>
          <w:tcPr>
            <w:tcW w:w="5000" w:type="pct"/>
            <w:tcBorders>
              <w:top w:val="single" w:sz="6" w:space="0" w:color="78A22F"/>
              <w:left w:val="nil"/>
              <w:bottom w:val="nil"/>
              <w:right w:val="nil"/>
            </w:tcBorders>
            <w:shd w:val="clear" w:color="auto" w:fill="F2F2F2"/>
          </w:tcPr>
          <w:p w14:paraId="7668C4F2" w14:textId="77777777" w:rsidR="00C277BC" w:rsidRDefault="00C277BC" w:rsidP="001708C1">
            <w:pPr>
              <w:pStyle w:val="BoxTitle"/>
            </w:pPr>
            <w:r>
              <w:rPr>
                <w:b w:val="0"/>
              </w:rPr>
              <w:t>Box 6.9</w:t>
            </w:r>
            <w:r>
              <w:tab/>
              <w:t>Youth diversions</w:t>
            </w:r>
          </w:p>
        </w:tc>
      </w:tr>
      <w:tr w:rsidR="00C277BC" w14:paraId="3FA1848E" w14:textId="77777777" w:rsidTr="001708C1">
        <w:tc>
          <w:tcPr>
            <w:tcW w:w="5000" w:type="pct"/>
            <w:tcBorders>
              <w:top w:val="nil"/>
              <w:left w:val="nil"/>
              <w:bottom w:val="nil"/>
              <w:right w:val="nil"/>
            </w:tcBorders>
            <w:shd w:val="clear" w:color="auto" w:fill="F2F2F2"/>
          </w:tcPr>
          <w:p w14:paraId="5A553970" w14:textId="77777777" w:rsidR="00C277BC" w:rsidRDefault="00C277BC" w:rsidP="001708C1">
            <w:pPr>
              <w:pStyle w:val="Box"/>
            </w:pPr>
            <w:r>
              <w:t>‘Youth diversions’ is defined by two measures:</w:t>
            </w:r>
          </w:p>
          <w:p w14:paraId="35C816CB" w14:textId="4161F321" w:rsidR="003C2DAC" w:rsidRPr="00333CEA" w:rsidRDefault="00BA377E" w:rsidP="006B2429">
            <w:pPr>
              <w:pStyle w:val="BoxListBullet"/>
            </w:pPr>
            <w:r w:rsidRPr="00BC134A">
              <w:t>the proportion of police proceedings for alleged youth offenders that were diverted by police using a non</w:t>
            </w:r>
            <w:r w:rsidR="008735A5">
              <w:noBreakHyphen/>
            </w:r>
            <w:r w:rsidRPr="00BC134A">
              <w:t>court proceeding</w:t>
            </w:r>
          </w:p>
          <w:p w14:paraId="68F44D70" w14:textId="08AB09DD" w:rsidR="00702F7A" w:rsidRPr="00BC134A" w:rsidRDefault="00405E57" w:rsidP="006B2429">
            <w:pPr>
              <w:pStyle w:val="BoxListBullet"/>
            </w:pPr>
            <w:r w:rsidRPr="00BC134A">
              <w:t>the proportion of police proceedings for alleged Aboriginal and Torres Strait Islander youth offenders that were diverted by police using a non</w:t>
            </w:r>
            <w:r w:rsidR="008735A5">
              <w:noBreakHyphen/>
            </w:r>
            <w:r w:rsidRPr="00BC134A">
              <w:t>court proceeding.</w:t>
            </w:r>
          </w:p>
          <w:p w14:paraId="6E95F30D" w14:textId="5CACE107" w:rsidR="0044072B" w:rsidRDefault="0044072B" w:rsidP="0044072B">
            <w:pPr>
              <w:pStyle w:val="Box"/>
            </w:pPr>
            <w:r w:rsidRPr="007677D7">
              <w:t>When police apprehend offenders, they have a variety of options available. They can charge the offender (and proceed to court</w:t>
            </w:r>
            <w:r w:rsidR="00CF615C" w:rsidRPr="007677D7">
              <w:t>),</w:t>
            </w:r>
            <w:r w:rsidRPr="007677D7">
              <w:t xml:space="preserve"> or they can use their discretion to divert the offender away from this potentially costly, time consuming and stressful situation (for both the offender and victim). They are particularly useful mechanisms for dealing with </w:t>
            </w:r>
            <w:r>
              <w:t xml:space="preserve">young </w:t>
            </w:r>
            <w:r w:rsidRPr="007677D7">
              <w:t xml:space="preserve">offenders. </w:t>
            </w:r>
          </w:p>
          <w:p w14:paraId="3F5BD27D" w14:textId="6D3AA9A6" w:rsidR="00465594" w:rsidRPr="007677D7" w:rsidRDefault="00FE1657" w:rsidP="0044072B">
            <w:pPr>
              <w:pStyle w:val="Box"/>
            </w:pPr>
            <w:r w:rsidRPr="00BC134A">
              <w:t>Alleged youth offenders are aged 10 to 17 years at the date of proceeding. A proceeding is a legal action initiated against an alleged offender for an offence(s). Police proceedings represent a count for each separate occasion on which police initiate a legal action against an offender during the reference period. Indigenous status is identified at the time of the proceeding by police.</w:t>
            </w:r>
            <w:r>
              <w:t xml:space="preserve"> </w:t>
            </w:r>
          </w:p>
          <w:p w14:paraId="6284E417" w14:textId="6946602C" w:rsidR="00AB1EE1" w:rsidRPr="00BC134A" w:rsidRDefault="00827DC7" w:rsidP="001708C1">
            <w:pPr>
              <w:pStyle w:val="Box"/>
            </w:pPr>
            <w:r w:rsidRPr="00BC134A">
              <w:t>Diversions include non</w:t>
            </w:r>
            <w:r w:rsidR="008735A5">
              <w:noBreakHyphen/>
            </w:r>
            <w:r w:rsidRPr="00BC134A">
              <w:t xml:space="preserve">court actions initiated against offenders away from the courts by way of community conference, diversionary conference, formal (written) cautioning by police, family conferences, and other programs (for example, drug assessment/treatment). </w:t>
            </w:r>
            <w:r w:rsidR="005674FF" w:rsidRPr="00BC134A">
              <w:t>Non</w:t>
            </w:r>
            <w:r w:rsidR="008735A5">
              <w:noBreakHyphen/>
            </w:r>
            <w:r w:rsidR="005674FF" w:rsidRPr="00BC134A">
              <w:t xml:space="preserve">court actions that are initiated against offenders who would not normally be sent to court for the offence detected, and who are treated by police in a less formal manner (for example, issued informal (oral) cautions, informal warnings or infringement/penalty notices), are not included. </w:t>
            </w:r>
          </w:p>
          <w:p w14:paraId="10D80BB6" w14:textId="77777777" w:rsidR="00BC134A" w:rsidRDefault="00C277BC" w:rsidP="001708C1">
            <w:pPr>
              <w:pStyle w:val="Box"/>
            </w:pPr>
            <w:r w:rsidRPr="007677D7">
              <w:t>A h</w:t>
            </w:r>
            <w:r w:rsidR="00FF6695">
              <w:t xml:space="preserve">igh or increasing proportion of youth </w:t>
            </w:r>
            <w:r w:rsidRPr="007677D7">
              <w:t xml:space="preserve">diversions as a proportion of </w:t>
            </w:r>
            <w:r>
              <w:t>yo</w:t>
            </w:r>
            <w:r w:rsidR="003C2DAC">
              <w:t>uth</w:t>
            </w:r>
            <w:r w:rsidR="00FF6695">
              <w:t xml:space="preserve"> </w:t>
            </w:r>
            <w:r w:rsidRPr="007677D7">
              <w:t>offenders is desirable.</w:t>
            </w:r>
            <w:r w:rsidR="0075538A">
              <w:t xml:space="preserve"> </w:t>
            </w:r>
            <w:r w:rsidR="0075538A" w:rsidRPr="00BC134A">
              <w:t>Not all diversionary options are available or subject to police discretion in all jurisdictions. In addition, young offenders who commit a serious offence or an offence specified in applicable legislation cannot be diverted. This limits the proportion of youth diversions that can be achieved.</w:t>
            </w:r>
            <w:r w:rsidR="00AB1EE1">
              <w:t xml:space="preserve"> </w:t>
            </w:r>
            <w:r>
              <w:t xml:space="preserve">This </w:t>
            </w:r>
            <w:r w:rsidRPr="00B73ACF">
              <w:t>indicator does not provide information on the relative success or failure of diversionary mechanisms.</w:t>
            </w:r>
          </w:p>
          <w:p w14:paraId="238200B3" w14:textId="12458A51" w:rsidR="00C277BC" w:rsidRDefault="00C277BC" w:rsidP="001708C1">
            <w:pPr>
              <w:pStyle w:val="Box"/>
            </w:pPr>
            <w:r>
              <w:t xml:space="preserve">Data reported for these measures are: </w:t>
            </w:r>
          </w:p>
          <w:p w14:paraId="4D618DC5" w14:textId="7261B196" w:rsidR="00C277BC" w:rsidRDefault="00C277BC" w:rsidP="001708C1">
            <w:pPr>
              <w:pStyle w:val="BoxListBullet"/>
              <w:numPr>
                <w:ilvl w:val="0"/>
                <w:numId w:val="0"/>
              </w:numPr>
              <w:ind w:left="284"/>
            </w:pPr>
            <w:r w:rsidRPr="00732672">
              <w:rPr>
                <w:shd w:val="clear" w:color="auto" w:fill="FCDED3"/>
              </w:rPr>
              <w:t xml:space="preserve">    </w:t>
            </w:r>
            <w:r>
              <w:t xml:space="preserve"> </w:t>
            </w:r>
            <w:r w:rsidRPr="00E654EA">
              <w:t>not comparable across jurisdictions or within some jurisdictions over time</w:t>
            </w:r>
            <w:r w:rsidR="009F67D7">
              <w:t xml:space="preserve"> (see footnotes in data </w:t>
            </w:r>
            <w:r>
              <w:t>tables for specific jurisdictions)</w:t>
            </w:r>
            <w:r w:rsidR="00FF6695">
              <w:t>.</w:t>
            </w:r>
          </w:p>
          <w:p w14:paraId="3288A7FE" w14:textId="12D039BC" w:rsidR="00C277BC" w:rsidRDefault="00440353" w:rsidP="00364E8D">
            <w:pPr>
              <w:pStyle w:val="BoxListBullet"/>
              <w:numPr>
                <w:ilvl w:val="0"/>
                <w:numId w:val="0"/>
              </w:numPr>
              <w:ind w:left="284"/>
            </w:pPr>
            <w:r w:rsidRPr="009273A9">
              <w:rPr>
                <w:shd w:val="clear" w:color="auto" w:fill="F15A25"/>
              </w:rPr>
              <w:t xml:space="preserve">    </w:t>
            </w:r>
            <w:r w:rsidR="007D51E7">
              <w:t xml:space="preserve"> </w:t>
            </w:r>
            <w:r w:rsidR="007D51E7" w:rsidRPr="009442FD">
              <w:t>complete (subject to caveats)</w:t>
            </w:r>
            <w:r w:rsidR="007D51E7">
              <w:t xml:space="preserve"> </w:t>
            </w:r>
            <w:r w:rsidR="007D51E7" w:rsidRPr="009442FD">
              <w:t xml:space="preserve">for the current reporting period. All required </w:t>
            </w:r>
            <w:r w:rsidR="007D51E7">
              <w:t>20</w:t>
            </w:r>
            <w:r w:rsidR="009824EA">
              <w:t>20</w:t>
            </w:r>
            <w:r w:rsidR="008735A5">
              <w:noBreakHyphen/>
            </w:r>
            <w:r w:rsidR="007D51E7">
              <w:t>2</w:t>
            </w:r>
            <w:r w:rsidR="009824EA">
              <w:t>1</w:t>
            </w:r>
            <w:r w:rsidR="007D51E7">
              <w:t xml:space="preserve"> </w:t>
            </w:r>
            <w:r w:rsidR="007D51E7" w:rsidRPr="009442FD">
              <w:t>data are available for all jurisdictions</w:t>
            </w:r>
            <w:r w:rsidR="007D51E7">
              <w:t>.</w:t>
            </w:r>
          </w:p>
        </w:tc>
      </w:tr>
      <w:tr w:rsidR="00C277BC" w14:paraId="35A29FCF" w14:textId="77777777" w:rsidTr="001708C1">
        <w:tc>
          <w:tcPr>
            <w:tcW w:w="5000" w:type="pct"/>
            <w:tcBorders>
              <w:top w:val="nil"/>
              <w:left w:val="nil"/>
              <w:bottom w:val="single" w:sz="6" w:space="0" w:color="78A22F"/>
              <w:right w:val="nil"/>
            </w:tcBorders>
            <w:shd w:val="clear" w:color="auto" w:fill="F2F2F2"/>
          </w:tcPr>
          <w:p w14:paraId="326707CA" w14:textId="77777777" w:rsidR="00C277BC" w:rsidRDefault="00C277BC" w:rsidP="001708C1">
            <w:pPr>
              <w:pStyle w:val="Box"/>
              <w:spacing w:before="0" w:line="120" w:lineRule="exact"/>
            </w:pPr>
          </w:p>
        </w:tc>
      </w:tr>
      <w:tr w:rsidR="00C277BC" w:rsidRPr="000863A5" w14:paraId="4783C9D3" w14:textId="77777777" w:rsidTr="001708C1">
        <w:tc>
          <w:tcPr>
            <w:tcW w:w="5000" w:type="pct"/>
            <w:tcBorders>
              <w:top w:val="single" w:sz="6" w:space="0" w:color="78A22F"/>
              <w:left w:val="nil"/>
              <w:bottom w:val="nil"/>
              <w:right w:val="nil"/>
            </w:tcBorders>
          </w:tcPr>
          <w:p w14:paraId="3AD9905B" w14:textId="77777777" w:rsidR="00C277BC" w:rsidRPr="00626D32" w:rsidRDefault="00C277BC" w:rsidP="001708C1">
            <w:pPr>
              <w:pStyle w:val="BoxSpaceBelow"/>
            </w:pPr>
          </w:p>
        </w:tc>
      </w:tr>
    </w:tbl>
    <w:p w14:paraId="43AFCB38" w14:textId="77777777" w:rsidR="005D5933" w:rsidRDefault="005D5933" w:rsidP="00C277BC">
      <w:pPr>
        <w:pStyle w:val="Heading4"/>
        <w:sectPr w:rsidR="005D5933" w:rsidSect="00605234">
          <w:pgSz w:w="11907" w:h="16840" w:code="9"/>
          <w:pgMar w:top="1985" w:right="1304" w:bottom="1247" w:left="1814" w:header="1701" w:footer="397" w:gutter="0"/>
          <w:pgNumType w:chapSep="period"/>
          <w:cols w:space="720"/>
        </w:sectPr>
      </w:pPr>
      <w:bookmarkStart w:id="18" w:name="_Toc22029154"/>
    </w:p>
    <w:p w14:paraId="3F2E403C" w14:textId="57C0B85D" w:rsidR="007324C4" w:rsidRDefault="007324C4">
      <w:pPr>
        <w:rPr>
          <w:rFonts w:ascii="Arial" w:hAnsi="Arial"/>
          <w:szCs w:val="20"/>
        </w:rPr>
      </w:pPr>
    </w:p>
    <w:p w14:paraId="25E28A88" w14:textId="22B2C4A2" w:rsidR="00C277BC" w:rsidRPr="00310AA4" w:rsidRDefault="00C277BC" w:rsidP="00C277BC">
      <w:pPr>
        <w:pStyle w:val="Heading4"/>
      </w:pPr>
      <w:r w:rsidRPr="00310AA4">
        <w:t>Outcome of investigations</w:t>
      </w:r>
      <w:bookmarkEnd w:id="18"/>
    </w:p>
    <w:p w14:paraId="7EE945F0" w14:textId="76141D17" w:rsidR="00C277BC" w:rsidRPr="00310AA4" w:rsidRDefault="00C277BC" w:rsidP="00C277BC">
      <w:pPr>
        <w:pStyle w:val="BodyText"/>
      </w:pPr>
      <w:r w:rsidRPr="00310AA4">
        <w:t xml:space="preserve">‘Outcome of investigations’ is an indicator of governments’ objective of supporting the judicial process to bring to justice those people responsible for committing an offence </w:t>
      </w:r>
      <w:r w:rsidRPr="00310AA4">
        <w:br/>
        <w:t>(box</w:t>
      </w:r>
      <w:r w:rsidR="008D44F2">
        <w:t> </w:t>
      </w:r>
      <w:r w:rsidRPr="00310AA4">
        <w:t>6.</w:t>
      </w:r>
      <w:r>
        <w:t>10</w:t>
      </w:r>
      <w:r w:rsidRPr="00310AA4">
        <w:t>).</w:t>
      </w:r>
    </w:p>
    <w:p w14:paraId="6ECFB6A3"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2AC494B5" w14:textId="77777777" w:rsidTr="001708C1">
        <w:trPr>
          <w:tblHeader/>
        </w:trPr>
        <w:tc>
          <w:tcPr>
            <w:tcW w:w="5000" w:type="pct"/>
            <w:tcBorders>
              <w:top w:val="single" w:sz="6" w:space="0" w:color="78A22F"/>
              <w:left w:val="nil"/>
              <w:bottom w:val="nil"/>
              <w:right w:val="nil"/>
            </w:tcBorders>
            <w:shd w:val="clear" w:color="auto" w:fill="F2F2F2"/>
          </w:tcPr>
          <w:p w14:paraId="319E8E44" w14:textId="2267039E" w:rsidR="00C277BC" w:rsidRDefault="00C277BC" w:rsidP="001708C1">
            <w:pPr>
              <w:pStyle w:val="BoxTitle"/>
            </w:pPr>
            <w:r>
              <w:rPr>
                <w:b w:val="0"/>
              </w:rPr>
              <w:t>Box 6.10</w:t>
            </w:r>
            <w:r>
              <w:tab/>
              <w:t>Outcome of investigations</w:t>
            </w:r>
          </w:p>
        </w:tc>
      </w:tr>
      <w:tr w:rsidR="00C277BC" w14:paraId="2DADF863" w14:textId="77777777" w:rsidTr="001708C1">
        <w:tc>
          <w:tcPr>
            <w:tcW w:w="5000" w:type="pct"/>
            <w:tcBorders>
              <w:top w:val="nil"/>
              <w:left w:val="nil"/>
              <w:bottom w:val="nil"/>
              <w:right w:val="nil"/>
            </w:tcBorders>
            <w:shd w:val="clear" w:color="auto" w:fill="F2F2F2"/>
          </w:tcPr>
          <w:p w14:paraId="52899A9A" w14:textId="77B373A9" w:rsidR="00C277BC" w:rsidRPr="00ED005E" w:rsidRDefault="00C277BC" w:rsidP="001708C1">
            <w:pPr>
              <w:pStyle w:val="Box"/>
            </w:pPr>
            <w:r w:rsidRPr="00ED005E">
              <w:t>‘Outcome of investigations’ is defined by two measures</w:t>
            </w:r>
            <w:r w:rsidR="00D701F7" w:rsidRPr="00ED005E">
              <w:t xml:space="preserve"> which are recorded as at 30 days of the offence becoming known by police</w:t>
            </w:r>
            <w:r w:rsidRPr="00ED005E">
              <w:t xml:space="preserve">: </w:t>
            </w:r>
          </w:p>
          <w:p w14:paraId="03FCDE4A" w14:textId="35EDA80C" w:rsidR="00C277BC" w:rsidRPr="00ED005E" w:rsidRDefault="00C277BC" w:rsidP="001708C1">
            <w:pPr>
              <w:pStyle w:val="BoxListBullet"/>
            </w:pPr>
            <w:r w:rsidRPr="00ED005E">
              <w:t>the number of investigations that were finalised, as a proportion of all investigations</w:t>
            </w:r>
          </w:p>
          <w:p w14:paraId="16E87648" w14:textId="35E9980F" w:rsidR="00C277BC" w:rsidRPr="00ED005E" w:rsidRDefault="00C277BC" w:rsidP="001708C1">
            <w:pPr>
              <w:pStyle w:val="BoxListBullet"/>
            </w:pPr>
            <w:r w:rsidRPr="00ED005E">
              <w:t xml:space="preserve">the number of investigations finalised </w:t>
            </w:r>
            <w:r w:rsidR="00905E88" w:rsidRPr="00ED005E">
              <w:t xml:space="preserve">where an offender was proceeded against, </w:t>
            </w:r>
            <w:r w:rsidRPr="00ED005E">
              <w:t>as a proportion of all finalised investigations</w:t>
            </w:r>
            <w:r w:rsidR="00313D45" w:rsidRPr="00ED005E">
              <w:t>.</w:t>
            </w:r>
          </w:p>
          <w:p w14:paraId="6F0E60E0" w14:textId="6480FCEE" w:rsidR="00C277BC" w:rsidRPr="00ED005E" w:rsidRDefault="00C277BC" w:rsidP="001708C1">
            <w:pPr>
              <w:pStyle w:val="Box"/>
            </w:pPr>
            <w:r w:rsidRPr="00ED005E">
              <w:t>Measures are reported for a range of offences:</w:t>
            </w:r>
          </w:p>
          <w:p w14:paraId="7ADE041B" w14:textId="1A3B1EEA" w:rsidR="00377736" w:rsidRDefault="00C277BC" w:rsidP="00377736">
            <w:pPr>
              <w:pStyle w:val="BoxListBullet"/>
            </w:pPr>
            <w:r w:rsidRPr="00ED005E">
              <w:t>personal offences</w:t>
            </w:r>
            <w:r w:rsidR="005E07E8">
              <w:t>:</w:t>
            </w:r>
            <w:r w:rsidRPr="00ED005E">
              <w:t xml:space="preserve"> homicide</w:t>
            </w:r>
            <w:r w:rsidR="005E07E8">
              <w:t xml:space="preserve"> and related offences</w:t>
            </w:r>
            <w:r w:rsidR="004F24D0">
              <w:t>;</w:t>
            </w:r>
            <w:r w:rsidRPr="00ED005E">
              <w:t xml:space="preserve"> sexual assault</w:t>
            </w:r>
            <w:r w:rsidR="004F24D0">
              <w:t>;</w:t>
            </w:r>
            <w:r w:rsidR="00770AA3">
              <w:t xml:space="preserve"> </w:t>
            </w:r>
            <w:r w:rsidRPr="00ED005E">
              <w:t>armed</w:t>
            </w:r>
            <w:r w:rsidR="00CE19CA">
              <w:t xml:space="preserve"> robbery</w:t>
            </w:r>
            <w:r w:rsidR="004F24D0">
              <w:t>;</w:t>
            </w:r>
            <w:r w:rsidR="005E07E8">
              <w:t xml:space="preserve"> and unarmed</w:t>
            </w:r>
            <w:r w:rsidRPr="00ED005E">
              <w:t xml:space="preserve"> robbery</w:t>
            </w:r>
          </w:p>
          <w:p w14:paraId="13F9E4D1" w14:textId="7DA50A9F" w:rsidR="00377736" w:rsidRDefault="00C277BC" w:rsidP="00F36837">
            <w:pPr>
              <w:pStyle w:val="BoxListBullet"/>
            </w:pPr>
            <w:r w:rsidRPr="00ED005E">
              <w:t>property offences</w:t>
            </w:r>
            <w:r w:rsidR="005E07E8">
              <w:t>:</w:t>
            </w:r>
            <w:r w:rsidRPr="00ED005E">
              <w:t xml:space="preserve">  unlawful entry with intent</w:t>
            </w:r>
            <w:r w:rsidR="00377736">
              <w:t>;</w:t>
            </w:r>
            <w:r w:rsidRPr="00ED005E">
              <w:t xml:space="preserve"> motor vehicle theft</w:t>
            </w:r>
            <w:r w:rsidR="00377736">
              <w:t>;</w:t>
            </w:r>
            <w:r w:rsidRPr="00ED005E">
              <w:t xml:space="preserve"> and other theft.</w:t>
            </w:r>
            <w:r w:rsidR="00377736">
              <w:t xml:space="preserve"> </w:t>
            </w:r>
          </w:p>
          <w:p w14:paraId="3E6F83F5" w14:textId="1A03845F" w:rsidR="00C277BC" w:rsidRDefault="00C277BC" w:rsidP="001708C1">
            <w:pPr>
              <w:pStyle w:val="Box"/>
            </w:pPr>
            <w:r w:rsidRPr="00ED005E">
              <w:t>A high or increasing proportion of investigations that were finalised and of investigations finalised where proceedings were instituted against the offender, is desirable.</w:t>
            </w:r>
          </w:p>
          <w:p w14:paraId="57262FC9" w14:textId="77777777" w:rsidR="00C277BC" w:rsidRDefault="00C277BC" w:rsidP="001708C1">
            <w:pPr>
              <w:pStyle w:val="Box"/>
            </w:pPr>
            <w:r>
              <w:t>Data reported for these measures are:</w:t>
            </w:r>
          </w:p>
          <w:p w14:paraId="6F040D6E" w14:textId="45589DF8"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r w:rsidR="00313D45">
              <w:t>.</w:t>
            </w:r>
          </w:p>
          <w:p w14:paraId="098425E2" w14:textId="5B45100F" w:rsidR="00C277BC" w:rsidRDefault="00440353" w:rsidP="001708C1">
            <w:pPr>
              <w:pStyle w:val="BoxListBullet"/>
              <w:numPr>
                <w:ilvl w:val="0"/>
                <w:numId w:val="0"/>
              </w:numPr>
              <w:ind w:left="284"/>
            </w:pPr>
            <w:r w:rsidRPr="009A2B9C">
              <w:rPr>
                <w:shd w:val="clear" w:color="auto" w:fill="F15A25"/>
              </w:rPr>
              <w:t xml:space="preserve">    </w:t>
            </w:r>
            <w:r w:rsidR="00C277BC">
              <w:t xml:space="preserve"> </w:t>
            </w:r>
            <w:r w:rsidR="005E07E8">
              <w:t xml:space="preserve">complete (subject to caveats) for the current reporting period. All required 2020 data are available for all jurisdictions. </w:t>
            </w:r>
          </w:p>
        </w:tc>
      </w:tr>
      <w:tr w:rsidR="00C277BC" w14:paraId="665F95F2" w14:textId="77777777" w:rsidTr="001708C1">
        <w:tc>
          <w:tcPr>
            <w:tcW w:w="5000" w:type="pct"/>
            <w:tcBorders>
              <w:top w:val="nil"/>
              <w:left w:val="nil"/>
              <w:bottom w:val="single" w:sz="6" w:space="0" w:color="78A22F"/>
              <w:right w:val="nil"/>
            </w:tcBorders>
            <w:shd w:val="clear" w:color="auto" w:fill="F2F2F2"/>
          </w:tcPr>
          <w:p w14:paraId="061ECB08" w14:textId="77777777" w:rsidR="00C277BC" w:rsidRDefault="00C277BC" w:rsidP="001708C1">
            <w:pPr>
              <w:pStyle w:val="Box"/>
              <w:spacing w:before="0" w:line="120" w:lineRule="exact"/>
            </w:pPr>
          </w:p>
        </w:tc>
      </w:tr>
      <w:tr w:rsidR="00C277BC" w:rsidRPr="000863A5" w14:paraId="657B8B57" w14:textId="77777777" w:rsidTr="001708C1">
        <w:tc>
          <w:tcPr>
            <w:tcW w:w="5000" w:type="pct"/>
            <w:tcBorders>
              <w:top w:val="single" w:sz="6" w:space="0" w:color="78A22F"/>
              <w:left w:val="nil"/>
              <w:bottom w:val="nil"/>
              <w:right w:val="nil"/>
            </w:tcBorders>
          </w:tcPr>
          <w:p w14:paraId="7C084CE9" w14:textId="77777777" w:rsidR="00C277BC" w:rsidRPr="00626D32" w:rsidRDefault="00C277BC" w:rsidP="001708C1">
            <w:pPr>
              <w:pStyle w:val="BoxSpaceBelow"/>
            </w:pPr>
          </w:p>
        </w:tc>
      </w:tr>
    </w:tbl>
    <w:p w14:paraId="66BFBDEA" w14:textId="77777777" w:rsidR="00FA72A5" w:rsidRDefault="00FA72A5">
      <w:pPr>
        <w:rPr>
          <w:rFonts w:ascii="Arial" w:hAnsi="Arial"/>
          <w:b/>
          <w:sz w:val="26"/>
          <w:szCs w:val="20"/>
        </w:rPr>
      </w:pPr>
      <w:bookmarkStart w:id="19" w:name="_Toc22029155"/>
      <w:r>
        <w:br w:type="page"/>
      </w:r>
    </w:p>
    <w:p w14:paraId="4F9D7CD2" w14:textId="544E9BE7" w:rsidR="00C277BC" w:rsidRPr="00310AA4" w:rsidRDefault="00C277BC" w:rsidP="00C277BC">
      <w:pPr>
        <w:pStyle w:val="Heading3"/>
      </w:pPr>
      <w:r w:rsidRPr="00310AA4">
        <w:lastRenderedPageBreak/>
        <w:t>Efficiency</w:t>
      </w:r>
      <w:bookmarkEnd w:id="19"/>
    </w:p>
    <w:p w14:paraId="67CA5390" w14:textId="77777777" w:rsidR="00C277BC" w:rsidRPr="00310AA4" w:rsidRDefault="00C277BC" w:rsidP="00C277BC">
      <w:pPr>
        <w:pStyle w:val="Heading4"/>
      </w:pPr>
      <w:bookmarkStart w:id="20" w:name="_Toc22029156"/>
      <w:r w:rsidRPr="00310AA4">
        <w:t>Expenditure per person</w:t>
      </w:r>
      <w:bookmarkEnd w:id="20"/>
    </w:p>
    <w:p w14:paraId="57F49BE5" w14:textId="77777777" w:rsidR="00C277BC" w:rsidRPr="00310AA4" w:rsidRDefault="00C277BC" w:rsidP="00C277BC">
      <w:pPr>
        <w:pStyle w:val="BodyText"/>
      </w:pPr>
      <w:r w:rsidRPr="00310AA4">
        <w:t>‘Expenditure per person’ is a proxy indicator of governments’ objective of providing police services in an efficient manner (box 6.1</w:t>
      </w:r>
      <w:r>
        <w:t>1</w:t>
      </w:r>
      <w:r w:rsidRPr="00310AA4">
        <w:t>).</w:t>
      </w:r>
    </w:p>
    <w:p w14:paraId="5E0D7F33"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0E73CF9D" w14:textId="77777777" w:rsidTr="001708C1">
        <w:trPr>
          <w:tblHeader/>
        </w:trPr>
        <w:tc>
          <w:tcPr>
            <w:tcW w:w="5000" w:type="pct"/>
            <w:tcBorders>
              <w:top w:val="single" w:sz="6" w:space="0" w:color="78A22F"/>
              <w:left w:val="nil"/>
              <w:bottom w:val="nil"/>
              <w:right w:val="nil"/>
            </w:tcBorders>
            <w:shd w:val="clear" w:color="auto" w:fill="F2F2F2"/>
          </w:tcPr>
          <w:p w14:paraId="46D5ADA8" w14:textId="77777777" w:rsidR="00C277BC" w:rsidRDefault="00C277BC" w:rsidP="001708C1">
            <w:pPr>
              <w:pStyle w:val="BoxTitle"/>
            </w:pPr>
            <w:r>
              <w:rPr>
                <w:b w:val="0"/>
              </w:rPr>
              <w:t>Box 6.11</w:t>
            </w:r>
            <w:r>
              <w:tab/>
              <w:t>Expenditure per person</w:t>
            </w:r>
          </w:p>
        </w:tc>
      </w:tr>
      <w:tr w:rsidR="00C277BC" w14:paraId="694D3381" w14:textId="77777777" w:rsidTr="001708C1">
        <w:tc>
          <w:tcPr>
            <w:tcW w:w="5000" w:type="pct"/>
            <w:tcBorders>
              <w:top w:val="nil"/>
              <w:left w:val="nil"/>
              <w:bottom w:val="nil"/>
              <w:right w:val="nil"/>
            </w:tcBorders>
            <w:shd w:val="clear" w:color="auto" w:fill="F2F2F2"/>
          </w:tcPr>
          <w:p w14:paraId="23C833B1" w14:textId="473674F8" w:rsidR="00C277BC" w:rsidRDefault="00C277BC" w:rsidP="001708C1">
            <w:pPr>
              <w:pStyle w:val="Box"/>
            </w:pPr>
            <w:r>
              <w:t>‘Expenditure per person’ is defined as real recurrent expenditure on policing per person in the population.</w:t>
            </w:r>
            <w:r w:rsidR="00860A61">
              <w:t xml:space="preserve"> </w:t>
            </w:r>
            <w:r>
              <w:t xml:space="preserve">All else being equal, a low or decreasing expenditure per person is desirable. However, efficiency data should be interpreted with care. High or increasing expenditure per person might reflect poor </w:t>
            </w:r>
            <w:r w:rsidR="00CF615C">
              <w:t>efficiency but</w:t>
            </w:r>
            <w:r>
              <w:t xml:space="preserve"> may also reflect changing aspects of the service or policing environment. Low </w:t>
            </w:r>
            <w:r w:rsidRPr="00A32CCE">
              <w:t>expenditure per person may reflect more efficient outcomes or lower quality or less challenging crime and safety situations. The scope of activities undertaken by police services also varies across jurisdictions.</w:t>
            </w:r>
          </w:p>
          <w:p w14:paraId="0D23F16D" w14:textId="36F1AA74" w:rsidR="006F4ADD" w:rsidRDefault="006F4ADD" w:rsidP="001708C1">
            <w:pPr>
              <w:pStyle w:val="Box"/>
            </w:pPr>
            <w:r w:rsidRPr="00BC134A">
              <w:t>Real recurrent expenditure includes user cost of capital, less revenue from own sources and payroll tax.</w:t>
            </w:r>
          </w:p>
          <w:p w14:paraId="5273D6F4" w14:textId="77777777" w:rsidR="00C277BC" w:rsidRDefault="00C277BC" w:rsidP="001708C1">
            <w:pPr>
              <w:pStyle w:val="Box"/>
            </w:pPr>
            <w:r>
              <w:t>Data reported for this measure are:</w:t>
            </w:r>
          </w:p>
          <w:p w14:paraId="410A3DAF" w14:textId="51226E08"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r w:rsidR="000E37DC">
              <w:t>.</w:t>
            </w:r>
          </w:p>
          <w:p w14:paraId="40ED43C2" w14:textId="1255CE98"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20</w:t>
            </w:r>
            <w:r w:rsidR="009824EA">
              <w:t>20</w:t>
            </w:r>
            <w:r w:rsidR="008735A5">
              <w:noBreakHyphen/>
            </w:r>
            <w:r w:rsidR="00510790">
              <w:t>2</w:t>
            </w:r>
            <w:r w:rsidR="009824EA">
              <w:t>1</w:t>
            </w:r>
            <w:r>
              <w:t xml:space="preserve"> </w:t>
            </w:r>
            <w:r w:rsidRPr="009442FD">
              <w:t>data are available for all jurisdictions</w:t>
            </w:r>
            <w:r>
              <w:t>.</w:t>
            </w:r>
          </w:p>
        </w:tc>
      </w:tr>
      <w:tr w:rsidR="00C277BC" w14:paraId="7896ED8A" w14:textId="77777777" w:rsidTr="001708C1">
        <w:tc>
          <w:tcPr>
            <w:tcW w:w="5000" w:type="pct"/>
            <w:tcBorders>
              <w:top w:val="nil"/>
              <w:left w:val="nil"/>
              <w:bottom w:val="single" w:sz="6" w:space="0" w:color="78A22F"/>
              <w:right w:val="nil"/>
            </w:tcBorders>
            <w:shd w:val="clear" w:color="auto" w:fill="F2F2F2"/>
          </w:tcPr>
          <w:p w14:paraId="51BDC762" w14:textId="77777777" w:rsidR="00C277BC" w:rsidRDefault="00C277BC" w:rsidP="001708C1">
            <w:pPr>
              <w:pStyle w:val="Box"/>
              <w:spacing w:before="0" w:line="120" w:lineRule="exact"/>
            </w:pPr>
          </w:p>
        </w:tc>
      </w:tr>
      <w:tr w:rsidR="00C277BC" w:rsidRPr="000863A5" w14:paraId="628C580B" w14:textId="77777777" w:rsidTr="001708C1">
        <w:tc>
          <w:tcPr>
            <w:tcW w:w="5000" w:type="pct"/>
            <w:tcBorders>
              <w:top w:val="single" w:sz="6" w:space="0" w:color="78A22F"/>
              <w:left w:val="nil"/>
              <w:bottom w:val="nil"/>
              <w:right w:val="nil"/>
            </w:tcBorders>
          </w:tcPr>
          <w:p w14:paraId="5123B966" w14:textId="77777777" w:rsidR="00C277BC" w:rsidRPr="00626D32" w:rsidRDefault="00C277BC" w:rsidP="001708C1">
            <w:pPr>
              <w:pStyle w:val="BoxSpaceBelow"/>
            </w:pPr>
          </w:p>
        </w:tc>
      </w:tr>
    </w:tbl>
    <w:p w14:paraId="3D1A7D9B" w14:textId="188BDE13" w:rsidR="00C277BC" w:rsidRPr="00BE1C9A" w:rsidRDefault="007152E9" w:rsidP="004B4652">
      <w:pPr>
        <w:pStyle w:val="BodyText"/>
      </w:pPr>
      <w:r>
        <w:t xml:space="preserve">Time series </w:t>
      </w:r>
      <w:r w:rsidR="00C277BC" w:rsidRPr="004B4652">
        <w:t>data for real recurrent expenditure and capital costs (including associated costs for the user cost of capital) for each jurisdiction are reported in table</w:t>
      </w:r>
      <w:r w:rsidR="008D44F2">
        <w:t> </w:t>
      </w:r>
      <w:r w:rsidR="00C277BC" w:rsidRPr="004B4652">
        <w:t>6A.1. Information on treatment of assets by police agencies is presented in table</w:t>
      </w:r>
      <w:r w:rsidR="008D44F2">
        <w:t> </w:t>
      </w:r>
      <w:r w:rsidR="00C277BC" w:rsidRPr="004B4652">
        <w:t>6.1 in section</w:t>
      </w:r>
      <w:r w:rsidR="008D44F2">
        <w:t> </w:t>
      </w:r>
      <w:r w:rsidR="00C277BC" w:rsidRPr="00BE1C9A">
        <w:t>6.2.</w:t>
      </w:r>
    </w:p>
    <w:p w14:paraId="3C517475" w14:textId="77777777" w:rsidR="00C277BC" w:rsidRPr="00310AA4" w:rsidRDefault="00C277BC" w:rsidP="00C277BC">
      <w:pPr>
        <w:pStyle w:val="Heading3"/>
      </w:pPr>
      <w:bookmarkStart w:id="21" w:name="_Toc22029157"/>
      <w:r w:rsidRPr="00310AA4">
        <w:t>Outcomes</w:t>
      </w:r>
      <w:bookmarkEnd w:id="21"/>
    </w:p>
    <w:p w14:paraId="1BED7B7B" w14:textId="77777777" w:rsidR="00C277BC" w:rsidRDefault="00C277BC" w:rsidP="00C277BC">
      <w:pPr>
        <w:pStyle w:val="BodyText"/>
      </w:pPr>
      <w:r>
        <w:t>Outcomes are the impact of services on the status of an individual or group (see section 1).</w:t>
      </w:r>
    </w:p>
    <w:p w14:paraId="00A6E266" w14:textId="77777777" w:rsidR="00C277BC" w:rsidRPr="00310AA4" w:rsidRDefault="00C277BC" w:rsidP="00C277BC">
      <w:pPr>
        <w:pStyle w:val="Heading4"/>
      </w:pPr>
      <w:bookmarkStart w:id="22" w:name="_Toc22029158"/>
      <w:bookmarkStart w:id="23" w:name="_Hlk73697234"/>
      <w:r w:rsidRPr="00310AA4">
        <w:t>Crime victimisation</w:t>
      </w:r>
      <w:bookmarkEnd w:id="22"/>
    </w:p>
    <w:p w14:paraId="1D4805D3" w14:textId="13720C51" w:rsidR="00C277BC" w:rsidRDefault="00C277BC" w:rsidP="00C277BC">
      <w:pPr>
        <w:pStyle w:val="BodyText"/>
      </w:pPr>
      <w:r w:rsidRPr="00EB350B">
        <w:t xml:space="preserve">‘Crime victimisation’ is an indicator of governments’ objective to contribute to a safe and secure community that enables people to undertake their lawful </w:t>
      </w:r>
      <w:r>
        <w:t xml:space="preserve">pursuits confidently and safely </w:t>
      </w:r>
      <w:r w:rsidRPr="00EB350B">
        <w:t>(box</w:t>
      </w:r>
      <w:r w:rsidR="008D44F2">
        <w:t> </w:t>
      </w:r>
      <w:r w:rsidRPr="00EB350B">
        <w:t>6.</w:t>
      </w:r>
      <w:r>
        <w:t>12</w:t>
      </w:r>
      <w:r w:rsidRPr="00EB350B">
        <w:t>).</w:t>
      </w:r>
    </w:p>
    <w:p w14:paraId="6F142DEB"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4E874B3A" w14:textId="77777777" w:rsidTr="001708C1">
        <w:trPr>
          <w:tblHeader/>
        </w:trPr>
        <w:tc>
          <w:tcPr>
            <w:tcW w:w="5000" w:type="pct"/>
            <w:tcBorders>
              <w:top w:val="single" w:sz="6" w:space="0" w:color="78A22F"/>
              <w:left w:val="nil"/>
              <w:bottom w:val="nil"/>
              <w:right w:val="nil"/>
            </w:tcBorders>
            <w:shd w:val="clear" w:color="auto" w:fill="F2F2F2"/>
          </w:tcPr>
          <w:p w14:paraId="74327389" w14:textId="77777777" w:rsidR="00C277BC" w:rsidRDefault="00C277BC" w:rsidP="001708C1">
            <w:pPr>
              <w:pStyle w:val="BoxTitle"/>
            </w:pPr>
            <w:r>
              <w:rPr>
                <w:b w:val="0"/>
              </w:rPr>
              <w:t>Box 6.12</w:t>
            </w:r>
            <w:r>
              <w:tab/>
              <w:t>Crime victimisation</w:t>
            </w:r>
          </w:p>
        </w:tc>
      </w:tr>
      <w:tr w:rsidR="00C277BC" w14:paraId="70366ECD" w14:textId="77777777" w:rsidTr="001708C1">
        <w:tc>
          <w:tcPr>
            <w:tcW w:w="5000" w:type="pct"/>
            <w:tcBorders>
              <w:top w:val="nil"/>
              <w:left w:val="nil"/>
              <w:bottom w:val="nil"/>
              <w:right w:val="nil"/>
            </w:tcBorders>
            <w:shd w:val="clear" w:color="auto" w:fill="F2F2F2"/>
          </w:tcPr>
          <w:p w14:paraId="73509169" w14:textId="77F46110" w:rsidR="000825FC" w:rsidRPr="00BC134A" w:rsidRDefault="00C277BC" w:rsidP="001708C1">
            <w:pPr>
              <w:pStyle w:val="Box"/>
            </w:pPr>
            <w:r w:rsidRPr="007F2386">
              <w:t xml:space="preserve">‘Crime victimisation’ is defined </w:t>
            </w:r>
            <w:r w:rsidR="000825FC" w:rsidRPr="00BC134A">
              <w:t xml:space="preserve">as the victimisation rate of </w:t>
            </w:r>
            <w:r w:rsidR="006C600A" w:rsidRPr="00BC134A">
              <w:t xml:space="preserve">selected </w:t>
            </w:r>
            <w:r w:rsidR="000825FC" w:rsidRPr="00BC134A">
              <w:t xml:space="preserve">personal and property crimes. </w:t>
            </w:r>
          </w:p>
          <w:p w14:paraId="47AC8E60" w14:textId="3896E936" w:rsidR="00481EC5" w:rsidRPr="00BC134A" w:rsidRDefault="00481EC5" w:rsidP="00481EC5">
            <w:pPr>
              <w:pStyle w:val="Box"/>
            </w:pPr>
            <w:r w:rsidRPr="00BC134A">
              <w:t>Data are reported for</w:t>
            </w:r>
            <w:r w:rsidR="00BC134A">
              <w:t>:</w:t>
            </w:r>
            <w:r w:rsidRPr="00BC134A">
              <w:t xml:space="preserve"> </w:t>
            </w:r>
          </w:p>
          <w:p w14:paraId="41DED6D6" w14:textId="44EE380A" w:rsidR="00481EC5" w:rsidRPr="00BC134A" w:rsidRDefault="00481EC5" w:rsidP="00DD2504">
            <w:pPr>
              <w:pStyle w:val="BoxListBullet"/>
            </w:pPr>
            <w:r w:rsidRPr="00BC134A">
              <w:t>personal crimes of physical assault</w:t>
            </w:r>
            <w:r w:rsidR="00901640" w:rsidRPr="00BC134A">
              <w:t>,</w:t>
            </w:r>
            <w:r w:rsidRPr="00BC134A">
              <w:t xml:space="preserve"> face</w:t>
            </w:r>
            <w:r w:rsidR="008735A5">
              <w:noBreakHyphen/>
            </w:r>
            <w:r w:rsidRPr="00BC134A">
              <w:t>to</w:t>
            </w:r>
            <w:r w:rsidR="008735A5">
              <w:noBreakHyphen/>
            </w:r>
            <w:r w:rsidRPr="00BC134A">
              <w:t>face threatened assault and robbery per 100</w:t>
            </w:r>
            <w:r w:rsidR="004738EC">
              <w:t> </w:t>
            </w:r>
            <w:r w:rsidRPr="00BC134A">
              <w:t>000 people aged 15 years or over; and for sexual assault, per 100</w:t>
            </w:r>
            <w:r w:rsidR="004738EC">
              <w:t> </w:t>
            </w:r>
            <w:r w:rsidRPr="00BC134A">
              <w:t xml:space="preserve">000 people aged 18 years or over. </w:t>
            </w:r>
          </w:p>
          <w:p w14:paraId="31F96536" w14:textId="13DBBE4F" w:rsidR="00481EC5" w:rsidRPr="00BC134A" w:rsidRDefault="00481EC5" w:rsidP="00DD2504">
            <w:pPr>
              <w:pStyle w:val="BoxListBullet"/>
            </w:pPr>
            <w:r w:rsidRPr="00BC134A">
              <w:t>property crimes of break</w:t>
            </w:r>
            <w:r w:rsidR="008735A5">
              <w:noBreakHyphen/>
            </w:r>
            <w:r w:rsidRPr="00BC134A">
              <w:t>in</w:t>
            </w:r>
            <w:r w:rsidR="00901640" w:rsidRPr="00BC134A">
              <w:t>,</w:t>
            </w:r>
            <w:r w:rsidRPr="00BC134A">
              <w:t xml:space="preserve"> attempted break</w:t>
            </w:r>
            <w:r w:rsidR="008735A5">
              <w:noBreakHyphen/>
            </w:r>
            <w:r w:rsidRPr="00BC134A">
              <w:t>in</w:t>
            </w:r>
            <w:r w:rsidR="00901640" w:rsidRPr="00BC134A">
              <w:t>,</w:t>
            </w:r>
            <w:r w:rsidRPr="00BC134A">
              <w:t xml:space="preserve"> motor vehicle theft</w:t>
            </w:r>
            <w:r w:rsidR="00901640" w:rsidRPr="00BC134A">
              <w:t>,</w:t>
            </w:r>
            <w:r w:rsidRPr="00BC134A">
              <w:t xml:space="preserve"> theft from a motor vehicle</w:t>
            </w:r>
            <w:r w:rsidR="00901640" w:rsidRPr="00BC134A">
              <w:t>,</w:t>
            </w:r>
            <w:r w:rsidRPr="00BC134A">
              <w:t xml:space="preserve"> malicious property damage and other theft, per 100</w:t>
            </w:r>
            <w:r w:rsidR="00901640" w:rsidRPr="00BC134A">
              <w:t> </w:t>
            </w:r>
            <w:r w:rsidRPr="00BC134A">
              <w:t>000 households.</w:t>
            </w:r>
          </w:p>
          <w:p w14:paraId="7791BAAD" w14:textId="2BCC4595" w:rsidR="00C224F5" w:rsidRPr="00BC134A" w:rsidRDefault="00C224F5" w:rsidP="00C224F5">
            <w:pPr>
              <w:pStyle w:val="Box"/>
            </w:pPr>
            <w:r w:rsidRPr="00BC134A">
              <w:t xml:space="preserve">A victim is a person (for personal crimes) or household (for property crimes) who has </w:t>
            </w:r>
            <w:r w:rsidR="006E3EC1" w:rsidRPr="00BC134A">
              <w:t>self</w:t>
            </w:r>
            <w:r w:rsidR="008735A5">
              <w:noBreakHyphen/>
            </w:r>
            <w:r w:rsidR="006E3EC1" w:rsidRPr="00BC134A">
              <w:t xml:space="preserve">reported as </w:t>
            </w:r>
            <w:r w:rsidRPr="00BC134A">
              <w:t>experienc</w:t>
            </w:r>
            <w:r w:rsidR="006E3EC1" w:rsidRPr="00BC134A">
              <w:t>ing</w:t>
            </w:r>
            <w:r w:rsidRPr="00BC134A">
              <w:t xml:space="preserve"> at least one incident</w:t>
            </w:r>
            <w:r w:rsidR="00D07B3A" w:rsidRPr="00BC134A">
              <w:t xml:space="preserve"> </w:t>
            </w:r>
            <w:r w:rsidRPr="00BC134A">
              <w:t xml:space="preserve">in the </w:t>
            </w:r>
            <w:r w:rsidR="00792AC8" w:rsidRPr="00BC134A">
              <w:t xml:space="preserve">last </w:t>
            </w:r>
            <w:r w:rsidRPr="00BC134A">
              <w:t xml:space="preserve">12 months. </w:t>
            </w:r>
          </w:p>
          <w:p w14:paraId="20415221" w14:textId="5EC96F5F" w:rsidR="00C277BC" w:rsidRDefault="00C277BC" w:rsidP="001708C1">
            <w:pPr>
              <w:pStyle w:val="Box"/>
            </w:pPr>
            <w:r w:rsidRPr="00A32CCE">
              <w:t>A low or decreasing rate of crime victimisation is desirable.</w:t>
            </w:r>
          </w:p>
          <w:p w14:paraId="04F89229" w14:textId="3362C5EC" w:rsidR="00C277BC" w:rsidRDefault="00C277BC" w:rsidP="001708C1">
            <w:pPr>
              <w:pStyle w:val="Box"/>
            </w:pPr>
            <w:r>
              <w:t>Data reported for th</w:t>
            </w:r>
            <w:r w:rsidR="00164BD8">
              <w:t>is</w:t>
            </w:r>
            <w:r>
              <w:t xml:space="preserve"> measure are:</w:t>
            </w:r>
          </w:p>
          <w:p w14:paraId="4F0BDE06" w14:textId="4FA97A9B" w:rsidR="00C277BC" w:rsidRPr="009442FD" w:rsidRDefault="00C277BC" w:rsidP="001708C1">
            <w:pPr>
              <w:pStyle w:val="BoxListBullet"/>
              <w:numPr>
                <w:ilvl w:val="0"/>
                <w:numId w:val="0"/>
              </w:numPr>
              <w:ind w:left="284"/>
            </w:pPr>
            <w:r w:rsidRPr="009273A9">
              <w:rPr>
                <w:shd w:val="clear" w:color="auto" w:fill="F15A25"/>
              </w:rPr>
              <w:t xml:space="preserve">    </w:t>
            </w:r>
            <w:r>
              <w:t xml:space="preserve"> comparable</w:t>
            </w:r>
            <w:r w:rsidRPr="009442FD">
              <w:t xml:space="preserve"> (subject to caveats) across jurisdictions and over time</w:t>
            </w:r>
            <w:r w:rsidR="000E37DC">
              <w:t>.</w:t>
            </w:r>
          </w:p>
          <w:p w14:paraId="15516FB0" w14:textId="37A26D87" w:rsidR="00C277BC" w:rsidRDefault="00C277BC" w:rsidP="0079764D">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w:t>
            </w:r>
            <w:r w:rsidRPr="002C51D4">
              <w:t xml:space="preserve">All required </w:t>
            </w:r>
            <w:r w:rsidRPr="006F4431">
              <w:t>20</w:t>
            </w:r>
            <w:r w:rsidR="00011ABA" w:rsidRPr="006F4431">
              <w:t>20</w:t>
            </w:r>
            <w:r w:rsidR="008735A5" w:rsidRPr="006F4431">
              <w:noBreakHyphen/>
            </w:r>
            <w:r w:rsidR="00B003E7" w:rsidRPr="006F4431">
              <w:t>2</w:t>
            </w:r>
            <w:r w:rsidR="00011ABA" w:rsidRPr="006F4431">
              <w:t>1</w:t>
            </w:r>
            <w:r w:rsidRPr="002C51D4">
              <w:t xml:space="preserve"> data are available for all jurisdictions.</w:t>
            </w:r>
          </w:p>
        </w:tc>
      </w:tr>
      <w:tr w:rsidR="00C277BC" w14:paraId="540B8C01" w14:textId="77777777" w:rsidTr="001708C1">
        <w:tc>
          <w:tcPr>
            <w:tcW w:w="5000" w:type="pct"/>
            <w:tcBorders>
              <w:top w:val="nil"/>
              <w:left w:val="nil"/>
              <w:bottom w:val="single" w:sz="6" w:space="0" w:color="78A22F"/>
              <w:right w:val="nil"/>
            </w:tcBorders>
            <w:shd w:val="clear" w:color="auto" w:fill="F2F2F2"/>
          </w:tcPr>
          <w:p w14:paraId="7345B3B1" w14:textId="77777777" w:rsidR="00C277BC" w:rsidRDefault="00C277BC" w:rsidP="001708C1">
            <w:pPr>
              <w:pStyle w:val="Box"/>
              <w:spacing w:before="0" w:line="120" w:lineRule="exact"/>
            </w:pPr>
          </w:p>
        </w:tc>
      </w:tr>
      <w:tr w:rsidR="00C277BC" w:rsidRPr="000863A5" w14:paraId="55207E37" w14:textId="77777777" w:rsidTr="001708C1">
        <w:tc>
          <w:tcPr>
            <w:tcW w:w="5000" w:type="pct"/>
            <w:tcBorders>
              <w:top w:val="single" w:sz="6" w:space="0" w:color="78A22F"/>
              <w:left w:val="nil"/>
              <w:bottom w:val="nil"/>
              <w:right w:val="nil"/>
            </w:tcBorders>
          </w:tcPr>
          <w:p w14:paraId="5A06E232" w14:textId="77777777" w:rsidR="00C277BC" w:rsidRPr="00626D32" w:rsidRDefault="00C277BC" w:rsidP="001708C1">
            <w:pPr>
              <w:pStyle w:val="BoxSpaceBelow"/>
            </w:pPr>
          </w:p>
        </w:tc>
      </w:tr>
    </w:tbl>
    <w:p w14:paraId="5A96ECF4" w14:textId="77777777" w:rsidR="00C277BC" w:rsidRPr="00310AA4" w:rsidRDefault="00C277BC" w:rsidP="00C277BC">
      <w:pPr>
        <w:pStyle w:val="Heading4"/>
      </w:pPr>
      <w:bookmarkStart w:id="24" w:name="_Toc22029159"/>
      <w:bookmarkEnd w:id="23"/>
      <w:r w:rsidRPr="00310AA4">
        <w:t>Perceptions of safety</w:t>
      </w:r>
      <w:bookmarkEnd w:id="24"/>
    </w:p>
    <w:p w14:paraId="754A4EAB" w14:textId="102C84E7" w:rsidR="00C277BC" w:rsidRDefault="00C277BC" w:rsidP="00A50EE9">
      <w:pPr>
        <w:pStyle w:val="BodyText"/>
      </w:pPr>
      <w:r w:rsidRPr="00310AA4">
        <w:t>‘Perceptions of safety’ is an indicator of governments’ objective to contribute to a safe and secure community that enables people to undertake their lawful pursuits confidently and safely (box</w:t>
      </w:r>
      <w:r w:rsidR="008D44F2">
        <w:t> </w:t>
      </w:r>
      <w:r w:rsidRPr="00310AA4">
        <w:t>6.1</w:t>
      </w:r>
      <w:r>
        <w:t>3</w:t>
      </w:r>
      <w:r w:rsidRPr="00310AA4">
        <w:t>).</w:t>
      </w:r>
    </w:p>
    <w:p w14:paraId="3EB8E9BC" w14:textId="77777777" w:rsidR="00C277BC" w:rsidRDefault="00C277BC" w:rsidP="00A50EE9">
      <w:pPr>
        <w:pStyle w:val="BodyText"/>
      </w:pPr>
    </w:p>
    <w:p w14:paraId="56EBB5A0" w14:textId="77777777" w:rsidR="00C277BC" w:rsidRDefault="00C277BC" w:rsidP="00C277BC">
      <w:pPr>
        <w:pStyle w:val="BoxSpaceAbove"/>
        <w:spacing w:before="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3ED5AB0C" w14:textId="77777777" w:rsidTr="001708C1">
        <w:trPr>
          <w:tblHeader/>
        </w:trPr>
        <w:tc>
          <w:tcPr>
            <w:tcW w:w="5000" w:type="pct"/>
            <w:tcBorders>
              <w:top w:val="single" w:sz="6" w:space="0" w:color="78A22F"/>
              <w:left w:val="nil"/>
              <w:bottom w:val="nil"/>
              <w:right w:val="nil"/>
            </w:tcBorders>
            <w:shd w:val="clear" w:color="auto" w:fill="F2F2F2"/>
          </w:tcPr>
          <w:p w14:paraId="2BA39D48" w14:textId="77777777" w:rsidR="00C277BC" w:rsidRDefault="00C277BC" w:rsidP="001708C1">
            <w:pPr>
              <w:pStyle w:val="BoxTitle"/>
            </w:pPr>
            <w:r>
              <w:rPr>
                <w:b w:val="0"/>
              </w:rPr>
              <w:t>Box 6.13</w:t>
            </w:r>
            <w:r>
              <w:tab/>
              <w:t>Perceptions of safety</w:t>
            </w:r>
          </w:p>
        </w:tc>
      </w:tr>
      <w:tr w:rsidR="00C277BC" w14:paraId="489E41FF" w14:textId="77777777" w:rsidTr="001708C1">
        <w:tc>
          <w:tcPr>
            <w:tcW w:w="5000" w:type="pct"/>
            <w:tcBorders>
              <w:top w:val="nil"/>
              <w:left w:val="nil"/>
              <w:bottom w:val="nil"/>
              <w:right w:val="nil"/>
            </w:tcBorders>
            <w:shd w:val="clear" w:color="auto" w:fill="F2F2F2"/>
          </w:tcPr>
          <w:p w14:paraId="37D22009" w14:textId="7B7F93BA" w:rsidR="00F92C5A" w:rsidRDefault="00C277BC" w:rsidP="00F92C5A">
            <w:pPr>
              <w:pStyle w:val="Box"/>
            </w:pPr>
            <w:r>
              <w:t>‘Perceptions of safety’ is defined by two measures</w:t>
            </w:r>
            <w:r w:rsidR="00AC270E">
              <w:t xml:space="preserve"> </w:t>
            </w:r>
            <w:r w:rsidR="00F92C5A">
              <w:t>– the proportion of people who felt ‘</w:t>
            </w:r>
            <w:r>
              <w:t>safe’ or ‘very safe’</w:t>
            </w:r>
            <w:r w:rsidR="00F92C5A">
              <w:t>:</w:t>
            </w:r>
          </w:p>
          <w:p w14:paraId="466BE2EE" w14:textId="60E52527" w:rsidR="00C277BC" w:rsidRPr="00590083" w:rsidRDefault="00C277BC" w:rsidP="00F92C5A">
            <w:pPr>
              <w:pStyle w:val="BoxListBullet"/>
            </w:pPr>
            <w:r w:rsidRPr="00590083">
              <w:t xml:space="preserve">at home </w:t>
            </w:r>
            <w:r w:rsidR="000E37DC" w:rsidRPr="00590083">
              <w:t xml:space="preserve">alone </w:t>
            </w:r>
            <w:r w:rsidRPr="00590083">
              <w:t>during the night</w:t>
            </w:r>
          </w:p>
          <w:p w14:paraId="33EDAF4F" w14:textId="06FC58E2" w:rsidR="00C277BC" w:rsidRPr="00590083" w:rsidRDefault="000E37DC" w:rsidP="00F92C5A">
            <w:pPr>
              <w:pStyle w:val="BoxListBullet"/>
            </w:pPr>
            <w:r w:rsidRPr="00590083">
              <w:t xml:space="preserve">in public places, including </w:t>
            </w:r>
            <w:r w:rsidR="00C277BC" w:rsidRPr="00590083">
              <w:t xml:space="preserve">walking </w:t>
            </w:r>
            <w:r w:rsidRPr="00590083">
              <w:t xml:space="preserve">alone in the neighbourhood </w:t>
            </w:r>
            <w:r w:rsidR="00521B79" w:rsidRPr="00590083">
              <w:t xml:space="preserve">during the day and night </w:t>
            </w:r>
            <w:r w:rsidRPr="00590083">
              <w:t xml:space="preserve">and </w:t>
            </w:r>
            <w:r w:rsidR="00C277BC" w:rsidRPr="00590083">
              <w:t xml:space="preserve">travelling on public transport </w:t>
            </w:r>
            <w:r w:rsidR="00521B79" w:rsidRPr="00590083">
              <w:t xml:space="preserve">during the </w:t>
            </w:r>
            <w:r w:rsidR="00C277BC" w:rsidRPr="00590083">
              <w:t>night.</w:t>
            </w:r>
          </w:p>
          <w:p w14:paraId="23FE8C61" w14:textId="6DA8AA6A" w:rsidR="00D73CE4" w:rsidRDefault="00D73CE4" w:rsidP="003D739C">
            <w:pPr>
              <w:pStyle w:val="Box"/>
            </w:pPr>
            <w:r w:rsidRPr="00713866">
              <w:t>The population scope for the data reported is the total population aged 18 years or over. Until October 2015, it was the total population aged 15 years or over.</w:t>
            </w:r>
            <w:r w:rsidR="00CE2B93">
              <w:t xml:space="preserve"> </w:t>
            </w:r>
          </w:p>
          <w:p w14:paraId="406B444A" w14:textId="1C508D9B" w:rsidR="00C277BC" w:rsidRDefault="00C277BC" w:rsidP="001708C1">
            <w:pPr>
              <w:pStyle w:val="Box"/>
            </w:pPr>
            <w:r>
              <w:t xml:space="preserve">A high or increasing proportion of people who felt ‘safe’ or ‘very safe’ is desirable. </w:t>
            </w:r>
            <w:r w:rsidRPr="007F2386">
              <w:t xml:space="preserve">Perceptions of safety may not reflect reported crime, </w:t>
            </w:r>
            <w:r>
              <w:t>which</w:t>
            </w:r>
            <w:r w:rsidRPr="007F2386">
              <w:t xml:space="preserve"> might understate actual crime, and many factors might affect public perceptions of crime levels and safety.</w:t>
            </w:r>
            <w:r>
              <w:t xml:space="preserve"> </w:t>
            </w:r>
          </w:p>
          <w:p w14:paraId="6E279582" w14:textId="77777777" w:rsidR="00C277BC" w:rsidRDefault="00C277BC" w:rsidP="001708C1">
            <w:pPr>
              <w:pStyle w:val="Box"/>
            </w:pPr>
            <w:r>
              <w:t>Data reported for these measures are:</w:t>
            </w:r>
          </w:p>
          <w:p w14:paraId="7F9F9921" w14:textId="6E6ECFB6"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r w:rsidR="000E37DC">
              <w:t>.</w:t>
            </w:r>
          </w:p>
          <w:p w14:paraId="28C27F66" w14:textId="197A8F0F"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w:t>
            </w:r>
            <w:r>
              <w:t>e</w:t>
            </w:r>
            <w:r w:rsidRPr="009442FD">
              <w:t xml:space="preserve"> (subject to caveats)</w:t>
            </w:r>
            <w:r>
              <w:t xml:space="preserve"> </w:t>
            </w:r>
            <w:r w:rsidRPr="009442FD">
              <w:t xml:space="preserve">for the current reporting period. All required </w:t>
            </w:r>
            <w:r>
              <w:t>20</w:t>
            </w:r>
            <w:r w:rsidR="009824EA">
              <w:t>20</w:t>
            </w:r>
            <w:r w:rsidR="008735A5">
              <w:noBreakHyphen/>
            </w:r>
            <w:r w:rsidR="00510790">
              <w:t>2</w:t>
            </w:r>
            <w:r w:rsidR="009824EA">
              <w:t>1</w:t>
            </w:r>
            <w:r>
              <w:t xml:space="preserve"> </w:t>
            </w:r>
            <w:r w:rsidRPr="009442FD">
              <w:t>data are available for all jurisdictions</w:t>
            </w:r>
            <w:r>
              <w:t>.</w:t>
            </w:r>
          </w:p>
        </w:tc>
      </w:tr>
      <w:tr w:rsidR="00C277BC" w14:paraId="6C40FC5C" w14:textId="77777777" w:rsidTr="001708C1">
        <w:tc>
          <w:tcPr>
            <w:tcW w:w="5000" w:type="pct"/>
            <w:tcBorders>
              <w:top w:val="nil"/>
              <w:left w:val="nil"/>
              <w:bottom w:val="single" w:sz="6" w:space="0" w:color="78A22F"/>
              <w:right w:val="nil"/>
            </w:tcBorders>
            <w:shd w:val="clear" w:color="auto" w:fill="F2F2F2"/>
          </w:tcPr>
          <w:p w14:paraId="7A56BA96" w14:textId="77777777" w:rsidR="00C277BC" w:rsidRDefault="00C277BC" w:rsidP="001708C1">
            <w:pPr>
              <w:pStyle w:val="Box"/>
              <w:spacing w:before="0" w:line="120" w:lineRule="exact"/>
            </w:pPr>
          </w:p>
        </w:tc>
      </w:tr>
      <w:tr w:rsidR="00C277BC" w:rsidRPr="000863A5" w14:paraId="6621A269" w14:textId="77777777" w:rsidTr="001708C1">
        <w:tc>
          <w:tcPr>
            <w:tcW w:w="5000" w:type="pct"/>
            <w:tcBorders>
              <w:top w:val="single" w:sz="6" w:space="0" w:color="78A22F"/>
              <w:left w:val="nil"/>
              <w:bottom w:val="nil"/>
              <w:right w:val="nil"/>
            </w:tcBorders>
          </w:tcPr>
          <w:p w14:paraId="141E369B" w14:textId="77777777" w:rsidR="00C277BC" w:rsidRPr="00626D32" w:rsidRDefault="00C277BC" w:rsidP="001708C1">
            <w:pPr>
              <w:pStyle w:val="BoxSpaceBelow"/>
              <w:spacing w:before="0" w:after="0"/>
            </w:pPr>
          </w:p>
        </w:tc>
      </w:tr>
    </w:tbl>
    <w:p w14:paraId="336088A3" w14:textId="64D0B0D2" w:rsidR="00C277BC" w:rsidRDefault="00C277BC" w:rsidP="00C277BC">
      <w:pPr>
        <w:pStyle w:val="Heading4"/>
      </w:pPr>
      <w:bookmarkStart w:id="25" w:name="_Toc22029160"/>
      <w:r>
        <w:lastRenderedPageBreak/>
        <w:t>Perception</w:t>
      </w:r>
      <w:r w:rsidR="001B7AFC">
        <w:t>s</w:t>
      </w:r>
      <w:r>
        <w:t xml:space="preserve"> of crime problems</w:t>
      </w:r>
      <w:bookmarkEnd w:id="25"/>
    </w:p>
    <w:p w14:paraId="19669DAC" w14:textId="0C94D28F" w:rsidR="00C277BC" w:rsidRDefault="00C277BC" w:rsidP="00C277BC">
      <w:pPr>
        <w:pStyle w:val="BodyText"/>
      </w:pPr>
      <w:r>
        <w:t xml:space="preserve">‘Perceptions of crime problems’ is an indicator of governments’ </w:t>
      </w:r>
      <w:r w:rsidRPr="00EB350B">
        <w:t xml:space="preserve">objective to contribute to a safe and secure community that enables people to undertake their lawful </w:t>
      </w:r>
      <w:r>
        <w:t xml:space="preserve">pursuits confidently and safely </w:t>
      </w:r>
      <w:r w:rsidRPr="00EB350B">
        <w:t>(box</w:t>
      </w:r>
      <w:r w:rsidR="008D44F2">
        <w:t> </w:t>
      </w:r>
      <w:r w:rsidRPr="00EB350B">
        <w:t>6</w:t>
      </w:r>
      <w:r>
        <w:t>.14</w:t>
      </w:r>
      <w:r w:rsidRPr="00EB350B">
        <w:t>).</w:t>
      </w:r>
    </w:p>
    <w:p w14:paraId="10BB9BC4"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0152E7D6" w14:textId="77777777" w:rsidTr="001708C1">
        <w:trPr>
          <w:tblHeader/>
        </w:trPr>
        <w:tc>
          <w:tcPr>
            <w:tcW w:w="5000" w:type="pct"/>
            <w:tcBorders>
              <w:top w:val="single" w:sz="6" w:space="0" w:color="78A22F"/>
              <w:left w:val="nil"/>
              <w:bottom w:val="nil"/>
              <w:right w:val="nil"/>
            </w:tcBorders>
            <w:shd w:val="clear" w:color="auto" w:fill="F2F2F2"/>
          </w:tcPr>
          <w:p w14:paraId="08535E3C" w14:textId="77777777" w:rsidR="00C277BC" w:rsidRDefault="00C277BC" w:rsidP="001708C1">
            <w:pPr>
              <w:pStyle w:val="BoxTitle"/>
            </w:pPr>
            <w:r>
              <w:rPr>
                <w:b w:val="0"/>
              </w:rPr>
              <w:t>Box 6.14</w:t>
            </w:r>
            <w:r>
              <w:tab/>
              <w:t>Perceptions of crime problems</w:t>
            </w:r>
          </w:p>
        </w:tc>
      </w:tr>
      <w:tr w:rsidR="00C277BC" w14:paraId="21D36FB0" w14:textId="77777777" w:rsidTr="001708C1">
        <w:tc>
          <w:tcPr>
            <w:tcW w:w="5000" w:type="pct"/>
            <w:tcBorders>
              <w:top w:val="nil"/>
              <w:left w:val="nil"/>
              <w:bottom w:val="nil"/>
              <w:right w:val="nil"/>
            </w:tcBorders>
            <w:shd w:val="clear" w:color="auto" w:fill="F2F2F2"/>
          </w:tcPr>
          <w:p w14:paraId="6494AD85" w14:textId="77777777" w:rsidR="00C277BC" w:rsidRDefault="00C277BC" w:rsidP="001708C1">
            <w:pPr>
              <w:pStyle w:val="Box"/>
            </w:pPr>
            <w:r>
              <w:t>‘Perceptions of crime problems’ is measured by the proportion of people who thought that various types of crime were a ‘major problem’ or ‘somewhat of a problem’ in their neighbourhood.</w:t>
            </w:r>
          </w:p>
          <w:p w14:paraId="7827148E" w14:textId="77777777" w:rsidR="004B1D16" w:rsidRDefault="00286D79" w:rsidP="001708C1">
            <w:pPr>
              <w:pStyle w:val="Box"/>
            </w:pPr>
            <w:r w:rsidRPr="00023BAE">
              <w:t>The population scope for the data reported is the total population aged 18 years or over. Until October 2015, it was the total population aged 15 years or over.</w:t>
            </w:r>
          </w:p>
          <w:p w14:paraId="215ADB9F" w14:textId="30F9BF27" w:rsidR="00FD3F0B" w:rsidRDefault="00FD3F0B" w:rsidP="001708C1">
            <w:pPr>
              <w:pStyle w:val="Box"/>
            </w:pPr>
            <w:r>
              <w:t>A low or decreasing proportion of people who thought the selected types of crime were a ‘major problem’ or ‘somewhat of a problem’ in their neighbourhood is desirable.</w:t>
            </w:r>
          </w:p>
          <w:p w14:paraId="248D683F" w14:textId="5885D575" w:rsidR="00C277BC" w:rsidRDefault="00C277BC" w:rsidP="001708C1">
            <w:pPr>
              <w:pStyle w:val="Box"/>
            </w:pPr>
            <w:r w:rsidRPr="00404E92">
              <w:t xml:space="preserve">Care needs to be taken in interpreting data on perceptions of crime, because reducing people’s concerns about crime and reducing the actual level of crime are two separate but related challenges. Comparisons between perceptions of crime problems and the level of crime raise questions about the factors that affect </w:t>
            </w:r>
            <w:r w:rsidR="0041556E" w:rsidRPr="00404E92">
              <w:t>perceptions and</w:t>
            </w:r>
            <w:r w:rsidRPr="00404E92">
              <w:t xml:space="preserve"> highlight the importance of considering the full suite of performance indicators rather than assessing performance on specific measures in isolation.</w:t>
            </w:r>
          </w:p>
          <w:p w14:paraId="5FE4F19B" w14:textId="77777777" w:rsidR="00C277BC" w:rsidRDefault="00C277BC" w:rsidP="001708C1">
            <w:pPr>
              <w:pStyle w:val="Box"/>
            </w:pPr>
            <w:r>
              <w:t>Data reported for this measure are:</w:t>
            </w:r>
          </w:p>
          <w:p w14:paraId="6D15B467" w14:textId="22314153"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r w:rsidR="00AC270E">
              <w:t>.</w:t>
            </w:r>
          </w:p>
          <w:p w14:paraId="74B6BF3D" w14:textId="599D458F"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20</w:t>
            </w:r>
            <w:r w:rsidR="009824EA">
              <w:t>20</w:t>
            </w:r>
            <w:r w:rsidR="008735A5">
              <w:noBreakHyphen/>
            </w:r>
            <w:r w:rsidR="00510790">
              <w:t>2</w:t>
            </w:r>
            <w:r w:rsidR="009824EA">
              <w:t>1</w:t>
            </w:r>
            <w:r>
              <w:t xml:space="preserve"> </w:t>
            </w:r>
            <w:r w:rsidRPr="009442FD">
              <w:t>data are available for all jurisdictions</w:t>
            </w:r>
            <w:r>
              <w:t>.</w:t>
            </w:r>
          </w:p>
        </w:tc>
      </w:tr>
      <w:tr w:rsidR="00C277BC" w14:paraId="4054A851" w14:textId="77777777" w:rsidTr="001708C1">
        <w:tc>
          <w:tcPr>
            <w:tcW w:w="5000" w:type="pct"/>
            <w:tcBorders>
              <w:top w:val="nil"/>
              <w:left w:val="nil"/>
              <w:bottom w:val="single" w:sz="6" w:space="0" w:color="78A22F"/>
              <w:right w:val="nil"/>
            </w:tcBorders>
            <w:shd w:val="clear" w:color="auto" w:fill="F2F2F2"/>
          </w:tcPr>
          <w:p w14:paraId="47707566" w14:textId="77777777" w:rsidR="00C277BC" w:rsidRDefault="00C277BC" w:rsidP="001708C1">
            <w:pPr>
              <w:pStyle w:val="Box"/>
              <w:spacing w:before="0" w:line="120" w:lineRule="exact"/>
            </w:pPr>
          </w:p>
        </w:tc>
      </w:tr>
      <w:tr w:rsidR="00C277BC" w:rsidRPr="000863A5" w14:paraId="005EB43A" w14:textId="77777777" w:rsidTr="001708C1">
        <w:tc>
          <w:tcPr>
            <w:tcW w:w="5000" w:type="pct"/>
            <w:tcBorders>
              <w:top w:val="single" w:sz="6" w:space="0" w:color="78A22F"/>
              <w:left w:val="nil"/>
              <w:bottom w:val="nil"/>
              <w:right w:val="nil"/>
            </w:tcBorders>
          </w:tcPr>
          <w:p w14:paraId="0AC9F23D" w14:textId="77777777" w:rsidR="00C277BC" w:rsidRPr="00626D32" w:rsidRDefault="00C277BC" w:rsidP="001708C1">
            <w:pPr>
              <w:pStyle w:val="BoxSpaceBelow"/>
            </w:pPr>
          </w:p>
        </w:tc>
      </w:tr>
    </w:tbl>
    <w:p w14:paraId="4C34D309" w14:textId="00DFE590" w:rsidR="00C277BC" w:rsidRPr="00593C0C" w:rsidRDefault="00C277BC" w:rsidP="00C277BC">
      <w:pPr>
        <w:pStyle w:val="Heading4"/>
        <w:spacing w:before="240"/>
      </w:pPr>
      <w:bookmarkStart w:id="26" w:name="_Toc22029161"/>
      <w:r w:rsidRPr="00593C0C">
        <w:t>Road deaths</w:t>
      </w:r>
      <w:bookmarkEnd w:id="26"/>
    </w:p>
    <w:p w14:paraId="5815DAD8" w14:textId="74FB89E3" w:rsidR="001B55A9" w:rsidRDefault="00C277BC" w:rsidP="00C277BC">
      <w:pPr>
        <w:pStyle w:val="BodyText"/>
      </w:pPr>
      <w:r w:rsidRPr="00593C0C">
        <w:t>‘Road deaths’ is an indicator of governments’ objective to contribute to a safe and secure community that enables people to undertake their lawful pursuits confidently and safely (box</w:t>
      </w:r>
      <w:r w:rsidR="008D44F2">
        <w:t> </w:t>
      </w:r>
      <w:r w:rsidRPr="00593C0C">
        <w:t>6.1</w:t>
      </w:r>
      <w:r>
        <w:t>5</w:t>
      </w:r>
      <w:r w:rsidRPr="00593C0C">
        <w:t>)</w:t>
      </w:r>
      <w:r w:rsidR="001B55A9">
        <w:t>.</w:t>
      </w:r>
    </w:p>
    <w:p w14:paraId="4E4B55E0" w14:textId="77777777" w:rsidR="00C277BC" w:rsidRDefault="00C277BC" w:rsidP="00C277BC">
      <w:pPr>
        <w:pStyle w:val="BoxSpaceAbove"/>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60618FA9" w14:textId="77777777" w:rsidTr="001708C1">
        <w:trPr>
          <w:tblHeader/>
        </w:trPr>
        <w:tc>
          <w:tcPr>
            <w:tcW w:w="5000" w:type="pct"/>
            <w:tcBorders>
              <w:top w:val="single" w:sz="6" w:space="0" w:color="78A22F"/>
              <w:left w:val="nil"/>
              <w:bottom w:val="nil"/>
              <w:right w:val="nil"/>
            </w:tcBorders>
            <w:shd w:val="clear" w:color="auto" w:fill="F2F2F2"/>
          </w:tcPr>
          <w:p w14:paraId="3B2A49E4" w14:textId="77777777" w:rsidR="00C277BC" w:rsidRDefault="00C277BC" w:rsidP="001708C1">
            <w:pPr>
              <w:pStyle w:val="BoxTitle"/>
            </w:pPr>
            <w:r>
              <w:rPr>
                <w:b w:val="0"/>
              </w:rPr>
              <w:t>Box 6.15</w:t>
            </w:r>
            <w:r>
              <w:tab/>
              <w:t>Road deaths</w:t>
            </w:r>
          </w:p>
        </w:tc>
      </w:tr>
      <w:tr w:rsidR="00C277BC" w14:paraId="158A562D" w14:textId="77777777" w:rsidTr="001708C1">
        <w:tc>
          <w:tcPr>
            <w:tcW w:w="5000" w:type="pct"/>
            <w:tcBorders>
              <w:top w:val="nil"/>
              <w:left w:val="nil"/>
              <w:bottom w:val="nil"/>
              <w:right w:val="nil"/>
            </w:tcBorders>
            <w:shd w:val="clear" w:color="auto" w:fill="F2F2F2"/>
          </w:tcPr>
          <w:p w14:paraId="21189413" w14:textId="559A0310" w:rsidR="001B55A9" w:rsidRPr="00EB5046" w:rsidRDefault="00C277BC" w:rsidP="001708C1">
            <w:pPr>
              <w:pStyle w:val="Box"/>
              <w:rPr>
                <w:color w:val="000000" w:themeColor="text1"/>
              </w:rPr>
            </w:pPr>
            <w:r w:rsidRPr="00EB5046">
              <w:rPr>
                <w:color w:val="000000" w:themeColor="text1"/>
              </w:rPr>
              <w:t xml:space="preserve">‘Road deaths’ is defined as the </w:t>
            </w:r>
            <w:r w:rsidR="00B6486F" w:rsidRPr="00023BAE">
              <w:rPr>
                <w:color w:val="000000" w:themeColor="text1"/>
              </w:rPr>
              <w:t>rate</w:t>
            </w:r>
            <w:r w:rsidR="00B6486F">
              <w:rPr>
                <w:color w:val="000000" w:themeColor="text1"/>
              </w:rPr>
              <w:t xml:space="preserve"> </w:t>
            </w:r>
            <w:r w:rsidRPr="00EB5046">
              <w:rPr>
                <w:color w:val="000000" w:themeColor="text1"/>
              </w:rPr>
              <w:t>of road deaths per 100 000 registered vehicles.</w:t>
            </w:r>
            <w:r w:rsidR="005B4059">
              <w:rPr>
                <w:color w:val="000000" w:themeColor="text1"/>
              </w:rPr>
              <w:t xml:space="preserve"> </w:t>
            </w:r>
          </w:p>
          <w:p w14:paraId="03C25FE8" w14:textId="77777777" w:rsidR="00AA36B6" w:rsidRDefault="00C277BC" w:rsidP="001708C1">
            <w:pPr>
              <w:pStyle w:val="Box"/>
              <w:rPr>
                <w:color w:val="000000" w:themeColor="text1"/>
              </w:rPr>
            </w:pPr>
            <w:r w:rsidRPr="00EB5046">
              <w:rPr>
                <w:color w:val="000000" w:themeColor="text1"/>
              </w:rPr>
              <w:t xml:space="preserve">No deaths or a decreasing rate of road deaths per 100 000 registered vehicles is desirable. </w:t>
            </w:r>
          </w:p>
          <w:p w14:paraId="08A2FA64" w14:textId="1F9A768A" w:rsidR="00C277BC" w:rsidRDefault="00C277BC" w:rsidP="001708C1">
            <w:pPr>
              <w:pStyle w:val="Box"/>
              <w:rPr>
                <w:color w:val="000000" w:themeColor="text1"/>
              </w:rPr>
            </w:pPr>
            <w:r w:rsidRPr="00EB5046">
              <w:rPr>
                <w:color w:val="000000" w:themeColor="text1"/>
              </w:rPr>
              <w:t>The rate of road deaths is affected by a number of factors in addition to activities undertaken by police services, such as the condition of roads, driver education and media campaigns.</w:t>
            </w:r>
          </w:p>
          <w:p w14:paraId="6F6C9429" w14:textId="77777777" w:rsidR="00C277BC" w:rsidRDefault="00C277BC" w:rsidP="001708C1">
            <w:pPr>
              <w:pStyle w:val="Box"/>
            </w:pPr>
            <w:r>
              <w:t>Data reported for this measure are:</w:t>
            </w:r>
          </w:p>
          <w:p w14:paraId="337CCDD3" w14:textId="2FA897DA"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r w:rsidR="00AC270E">
              <w:t>.</w:t>
            </w:r>
          </w:p>
          <w:p w14:paraId="55F0E4E7" w14:textId="041D1659" w:rsidR="00C277BC" w:rsidRDefault="00C277BC" w:rsidP="001708C1">
            <w:pPr>
              <w:pStyle w:val="BoxListBullet"/>
              <w:numPr>
                <w:ilvl w:val="0"/>
                <w:numId w:val="0"/>
              </w:numPr>
              <w:ind w:left="284"/>
            </w:pPr>
            <w:r w:rsidRPr="009273A9">
              <w:rPr>
                <w:shd w:val="clear" w:color="auto" w:fill="F15A25"/>
              </w:rPr>
              <w:t xml:space="preserve">    </w:t>
            </w:r>
            <w:r>
              <w:t xml:space="preserve"> complete (subject to caveats) for the current reporting period. All required 20</w:t>
            </w:r>
            <w:r w:rsidR="009824EA">
              <w:t>20</w:t>
            </w:r>
            <w:r w:rsidR="008735A5">
              <w:noBreakHyphen/>
            </w:r>
            <w:r w:rsidR="00510790">
              <w:t>2</w:t>
            </w:r>
            <w:r w:rsidR="009824EA">
              <w:t>1</w:t>
            </w:r>
            <w:r>
              <w:t xml:space="preserve"> data are available for all jurisdictions.</w:t>
            </w:r>
          </w:p>
        </w:tc>
      </w:tr>
      <w:tr w:rsidR="00C277BC" w14:paraId="0951C100" w14:textId="77777777" w:rsidTr="001708C1">
        <w:tc>
          <w:tcPr>
            <w:tcW w:w="5000" w:type="pct"/>
            <w:tcBorders>
              <w:top w:val="nil"/>
              <w:left w:val="nil"/>
              <w:bottom w:val="single" w:sz="6" w:space="0" w:color="78A22F"/>
              <w:right w:val="nil"/>
            </w:tcBorders>
            <w:shd w:val="clear" w:color="auto" w:fill="F2F2F2"/>
          </w:tcPr>
          <w:p w14:paraId="7718B12B" w14:textId="77777777" w:rsidR="00C277BC" w:rsidRDefault="00C277BC" w:rsidP="001708C1">
            <w:pPr>
              <w:pStyle w:val="Box"/>
              <w:spacing w:before="0" w:line="120" w:lineRule="exact"/>
            </w:pPr>
          </w:p>
        </w:tc>
      </w:tr>
      <w:tr w:rsidR="00C277BC" w:rsidRPr="000863A5" w14:paraId="7D4C265E" w14:textId="77777777" w:rsidTr="001708C1">
        <w:tc>
          <w:tcPr>
            <w:tcW w:w="5000" w:type="pct"/>
            <w:tcBorders>
              <w:top w:val="single" w:sz="6" w:space="0" w:color="78A22F"/>
              <w:left w:val="nil"/>
              <w:bottom w:val="nil"/>
              <w:right w:val="nil"/>
            </w:tcBorders>
          </w:tcPr>
          <w:p w14:paraId="2065D293" w14:textId="77777777" w:rsidR="00C277BC" w:rsidRPr="00626D32" w:rsidRDefault="00C277BC" w:rsidP="001708C1">
            <w:pPr>
              <w:pStyle w:val="BoxSpaceBelow"/>
              <w:spacing w:before="0" w:after="0"/>
            </w:pPr>
          </w:p>
        </w:tc>
      </w:tr>
    </w:tbl>
    <w:p w14:paraId="49A09CD3" w14:textId="60FEE855" w:rsidR="005B1CDD" w:rsidRDefault="005B1CDD">
      <w:pPr>
        <w:pStyle w:val="BodyText"/>
        <w:sectPr w:rsidR="005B1CDD" w:rsidSect="00605234">
          <w:pgSz w:w="11907" w:h="16840" w:code="9"/>
          <w:pgMar w:top="1985" w:right="1304" w:bottom="1247" w:left="1814" w:header="1701" w:footer="397" w:gutter="0"/>
          <w:pgNumType w:chapSep="period"/>
          <w:cols w:space="720"/>
        </w:sectPr>
      </w:pPr>
    </w:p>
    <w:p w14:paraId="24EAF062" w14:textId="15FB8A91" w:rsidR="00466311" w:rsidRDefault="00466311" w:rsidP="00466311">
      <w:pPr>
        <w:pStyle w:val="Heading2nosectionno"/>
        <w:spacing w:before="240"/>
      </w:pPr>
      <w:bookmarkStart w:id="27" w:name="_Toc22029162"/>
      <w:r>
        <w:lastRenderedPageBreak/>
        <w:t>6.2</w:t>
      </w:r>
      <w:r>
        <w:tab/>
        <w:t>Treatment of assets by police agencies</w:t>
      </w:r>
      <w:bookmarkEnd w:id="27"/>
    </w:p>
    <w:p w14:paraId="64149ED7" w14:textId="7AE91C48" w:rsidR="00466311" w:rsidRDefault="00466311" w:rsidP="0046631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44"/>
      </w:tblGrid>
      <w:tr w:rsidR="00466311" w14:paraId="5BACBC69" w14:textId="77777777" w:rsidTr="00466311">
        <w:tc>
          <w:tcPr>
            <w:tcW w:w="13444" w:type="dxa"/>
            <w:tcBorders>
              <w:top w:val="single" w:sz="6" w:space="0" w:color="78A22F"/>
              <w:left w:val="nil"/>
              <w:bottom w:val="nil"/>
              <w:right w:val="nil"/>
            </w:tcBorders>
            <w:shd w:val="clear" w:color="auto" w:fill="auto"/>
          </w:tcPr>
          <w:p w14:paraId="061E83A3" w14:textId="5ABB9BA1" w:rsidR="00466311" w:rsidRPr="00784A05" w:rsidRDefault="00466311" w:rsidP="002B1967">
            <w:pPr>
              <w:pStyle w:val="TableTitle"/>
            </w:pPr>
            <w:r>
              <w:rPr>
                <w:b w:val="0"/>
              </w:rPr>
              <w:t xml:space="preserve">Table </w:t>
            </w:r>
            <w:r w:rsidR="002B1967">
              <w:rPr>
                <w:b w:val="0"/>
              </w:rPr>
              <w:t>6</w:t>
            </w:r>
            <w:r>
              <w:rPr>
                <w:b w:val="0"/>
              </w:rPr>
              <w:t>.</w:t>
            </w:r>
            <w:r w:rsidR="00E8631E">
              <w:rPr>
                <w:b w:val="0"/>
                <w:noProof/>
              </w:rPr>
              <w:t>1</w:t>
            </w:r>
            <w:r>
              <w:tab/>
              <w:t>Treatment of assets by police agencies, 20</w:t>
            </w:r>
            <w:r w:rsidR="009824EA">
              <w:t>20</w:t>
            </w:r>
            <w:r w:rsidR="008735A5">
              <w:noBreakHyphen/>
            </w:r>
            <w:r w:rsidR="00510790">
              <w:t>2</w:t>
            </w:r>
            <w:r w:rsidR="009824EA">
              <w:t>1</w:t>
            </w:r>
          </w:p>
        </w:tc>
      </w:tr>
      <w:tr w:rsidR="00466311" w14:paraId="51FAD119" w14:textId="77777777" w:rsidTr="00466311">
        <w:tc>
          <w:tcPr>
            <w:tcW w:w="13444" w:type="dxa"/>
            <w:tcBorders>
              <w:top w:val="nil"/>
              <w:left w:val="nil"/>
              <w:bottom w:val="nil"/>
              <w:right w:val="nil"/>
            </w:tcBorders>
            <w:shd w:val="clear" w:color="auto" w:fill="auto"/>
          </w:tcPr>
          <w:tbl>
            <w:tblPr>
              <w:tblW w:w="13254" w:type="dxa"/>
              <w:tblCellMar>
                <w:top w:w="28" w:type="dxa"/>
                <w:left w:w="0" w:type="dxa"/>
                <w:right w:w="0" w:type="dxa"/>
              </w:tblCellMar>
              <w:tblLook w:val="04A0" w:firstRow="1" w:lastRow="0" w:firstColumn="1" w:lastColumn="0" w:noHBand="0" w:noVBand="1"/>
            </w:tblPr>
            <w:tblGrid>
              <w:gridCol w:w="3761"/>
              <w:gridCol w:w="1211"/>
              <w:gridCol w:w="1172"/>
              <w:gridCol w:w="1172"/>
              <w:gridCol w:w="1244"/>
              <w:gridCol w:w="1174"/>
              <w:gridCol w:w="1174"/>
              <w:gridCol w:w="1174"/>
              <w:gridCol w:w="1172"/>
            </w:tblGrid>
            <w:tr w:rsidR="00466311" w14:paraId="2EE8FBB7" w14:textId="77777777" w:rsidTr="001708C1">
              <w:trPr>
                <w:trHeight w:val="327"/>
                <w:tblHeader/>
              </w:trPr>
              <w:tc>
                <w:tcPr>
                  <w:tcW w:w="1419" w:type="pct"/>
                  <w:tcBorders>
                    <w:top w:val="single" w:sz="6" w:space="0" w:color="BFBFBF"/>
                    <w:left w:val="nil"/>
                    <w:bottom w:val="single" w:sz="6" w:space="0" w:color="BFBFBF"/>
                    <w:right w:val="nil"/>
                  </w:tcBorders>
                </w:tcPr>
                <w:p w14:paraId="0CC4EAD4" w14:textId="77777777" w:rsidR="00466311" w:rsidRPr="00F920BA" w:rsidRDefault="00466311" w:rsidP="001708C1">
                  <w:pPr>
                    <w:pStyle w:val="TableColumnHeading"/>
                    <w:keepNext w:val="0"/>
                    <w:keepLines w:val="0"/>
                    <w:widowControl w:val="0"/>
                    <w:jc w:val="left"/>
                    <w:rPr>
                      <w:szCs w:val="18"/>
                    </w:rPr>
                  </w:pPr>
                </w:p>
              </w:tc>
              <w:tc>
                <w:tcPr>
                  <w:tcW w:w="457" w:type="pct"/>
                  <w:tcBorders>
                    <w:top w:val="single" w:sz="6" w:space="0" w:color="BFBFBF"/>
                    <w:left w:val="nil"/>
                    <w:bottom w:val="single" w:sz="6" w:space="0" w:color="BFBFBF"/>
                    <w:right w:val="nil"/>
                  </w:tcBorders>
                  <w:hideMark/>
                </w:tcPr>
                <w:p w14:paraId="797182F5" w14:textId="77777777" w:rsidR="00466311" w:rsidRPr="00F920BA" w:rsidRDefault="00466311" w:rsidP="001708C1">
                  <w:pPr>
                    <w:pStyle w:val="TableColumnHeading"/>
                    <w:keepNext w:val="0"/>
                    <w:keepLines w:val="0"/>
                    <w:widowControl w:val="0"/>
                    <w:rPr>
                      <w:szCs w:val="18"/>
                    </w:rPr>
                  </w:pPr>
                  <w:r w:rsidRPr="00F920BA">
                    <w:rPr>
                      <w:szCs w:val="18"/>
                    </w:rPr>
                    <w:t>NSW</w:t>
                  </w:r>
                </w:p>
              </w:tc>
              <w:tc>
                <w:tcPr>
                  <w:tcW w:w="442" w:type="pct"/>
                  <w:tcBorders>
                    <w:top w:val="single" w:sz="6" w:space="0" w:color="BFBFBF"/>
                    <w:left w:val="nil"/>
                    <w:bottom w:val="single" w:sz="6" w:space="0" w:color="BFBFBF"/>
                    <w:right w:val="nil"/>
                  </w:tcBorders>
                  <w:hideMark/>
                </w:tcPr>
                <w:p w14:paraId="12B9D6D6" w14:textId="77777777" w:rsidR="00466311" w:rsidRPr="00F920BA" w:rsidRDefault="00466311" w:rsidP="001708C1">
                  <w:pPr>
                    <w:pStyle w:val="TableColumnHeading"/>
                    <w:keepNext w:val="0"/>
                    <w:keepLines w:val="0"/>
                    <w:widowControl w:val="0"/>
                    <w:rPr>
                      <w:szCs w:val="18"/>
                    </w:rPr>
                  </w:pPr>
                  <w:r w:rsidRPr="00F920BA">
                    <w:rPr>
                      <w:szCs w:val="18"/>
                    </w:rPr>
                    <w:t>V</w:t>
                  </w:r>
                  <w:r>
                    <w:rPr>
                      <w:szCs w:val="18"/>
                    </w:rPr>
                    <w:t>ic</w:t>
                  </w:r>
                </w:p>
              </w:tc>
              <w:tc>
                <w:tcPr>
                  <w:tcW w:w="442" w:type="pct"/>
                  <w:tcBorders>
                    <w:top w:val="single" w:sz="6" w:space="0" w:color="BFBFBF"/>
                    <w:left w:val="nil"/>
                    <w:bottom w:val="single" w:sz="6" w:space="0" w:color="BFBFBF"/>
                    <w:right w:val="nil"/>
                  </w:tcBorders>
                  <w:hideMark/>
                </w:tcPr>
                <w:p w14:paraId="7E737D85" w14:textId="77777777" w:rsidR="00466311" w:rsidRPr="00F920BA" w:rsidRDefault="00466311" w:rsidP="001708C1">
                  <w:pPr>
                    <w:pStyle w:val="TableColumnHeading"/>
                    <w:keepNext w:val="0"/>
                    <w:keepLines w:val="0"/>
                    <w:widowControl w:val="0"/>
                    <w:ind w:right="28"/>
                    <w:rPr>
                      <w:szCs w:val="18"/>
                    </w:rPr>
                  </w:pPr>
                  <w:r w:rsidRPr="00F920BA">
                    <w:rPr>
                      <w:szCs w:val="18"/>
                    </w:rPr>
                    <w:t>Qld</w:t>
                  </w:r>
                </w:p>
              </w:tc>
              <w:tc>
                <w:tcPr>
                  <w:tcW w:w="469" w:type="pct"/>
                  <w:tcBorders>
                    <w:top w:val="single" w:sz="6" w:space="0" w:color="BFBFBF"/>
                    <w:left w:val="nil"/>
                    <w:bottom w:val="single" w:sz="6" w:space="0" w:color="BFBFBF"/>
                    <w:right w:val="nil"/>
                  </w:tcBorders>
                  <w:hideMark/>
                </w:tcPr>
                <w:p w14:paraId="2FA356D8" w14:textId="77777777" w:rsidR="00466311" w:rsidRPr="00F920BA" w:rsidRDefault="00466311" w:rsidP="001708C1">
                  <w:pPr>
                    <w:pStyle w:val="TableColumnHeading"/>
                    <w:keepNext w:val="0"/>
                    <w:keepLines w:val="0"/>
                    <w:widowControl w:val="0"/>
                    <w:ind w:right="28"/>
                    <w:rPr>
                      <w:szCs w:val="18"/>
                    </w:rPr>
                  </w:pPr>
                  <w:r w:rsidRPr="00F920BA">
                    <w:rPr>
                      <w:szCs w:val="18"/>
                    </w:rPr>
                    <w:t>WA</w:t>
                  </w:r>
                </w:p>
              </w:tc>
              <w:tc>
                <w:tcPr>
                  <w:tcW w:w="443" w:type="pct"/>
                  <w:tcBorders>
                    <w:top w:val="single" w:sz="6" w:space="0" w:color="BFBFBF"/>
                    <w:left w:val="nil"/>
                    <w:bottom w:val="single" w:sz="6" w:space="0" w:color="BFBFBF"/>
                    <w:right w:val="nil"/>
                  </w:tcBorders>
                  <w:hideMark/>
                </w:tcPr>
                <w:p w14:paraId="28477C4E" w14:textId="77777777" w:rsidR="00466311" w:rsidRPr="00F920BA" w:rsidRDefault="00466311" w:rsidP="001708C1">
                  <w:pPr>
                    <w:pStyle w:val="TableColumnHeading"/>
                    <w:keepNext w:val="0"/>
                    <w:keepLines w:val="0"/>
                    <w:widowControl w:val="0"/>
                    <w:ind w:right="28"/>
                    <w:rPr>
                      <w:szCs w:val="18"/>
                    </w:rPr>
                  </w:pPr>
                  <w:r w:rsidRPr="00F920BA">
                    <w:rPr>
                      <w:szCs w:val="18"/>
                    </w:rPr>
                    <w:t>SA</w:t>
                  </w:r>
                </w:p>
              </w:tc>
              <w:tc>
                <w:tcPr>
                  <w:tcW w:w="443" w:type="pct"/>
                  <w:tcBorders>
                    <w:top w:val="single" w:sz="6" w:space="0" w:color="BFBFBF"/>
                    <w:left w:val="nil"/>
                    <w:bottom w:val="single" w:sz="6" w:space="0" w:color="BFBFBF"/>
                    <w:right w:val="nil"/>
                  </w:tcBorders>
                  <w:hideMark/>
                </w:tcPr>
                <w:p w14:paraId="59787C06" w14:textId="77777777" w:rsidR="00466311" w:rsidRPr="00F920BA" w:rsidRDefault="00466311" w:rsidP="001708C1">
                  <w:pPr>
                    <w:pStyle w:val="TableColumnHeading"/>
                    <w:keepNext w:val="0"/>
                    <w:keepLines w:val="0"/>
                    <w:widowControl w:val="0"/>
                    <w:ind w:right="28"/>
                    <w:rPr>
                      <w:szCs w:val="18"/>
                    </w:rPr>
                  </w:pPr>
                  <w:r w:rsidRPr="00F920BA">
                    <w:rPr>
                      <w:szCs w:val="18"/>
                    </w:rPr>
                    <w:t>Tas</w:t>
                  </w:r>
                </w:p>
              </w:tc>
              <w:tc>
                <w:tcPr>
                  <w:tcW w:w="443" w:type="pct"/>
                  <w:tcBorders>
                    <w:top w:val="single" w:sz="6" w:space="0" w:color="BFBFBF"/>
                    <w:left w:val="nil"/>
                    <w:bottom w:val="single" w:sz="6" w:space="0" w:color="BFBFBF"/>
                    <w:right w:val="nil"/>
                  </w:tcBorders>
                  <w:hideMark/>
                </w:tcPr>
                <w:p w14:paraId="7E3ADB27" w14:textId="77777777" w:rsidR="00466311" w:rsidRPr="00F920BA" w:rsidRDefault="00466311" w:rsidP="001708C1">
                  <w:pPr>
                    <w:pStyle w:val="TableColumnHeading"/>
                    <w:keepNext w:val="0"/>
                    <w:keepLines w:val="0"/>
                    <w:widowControl w:val="0"/>
                    <w:ind w:right="28"/>
                    <w:rPr>
                      <w:szCs w:val="18"/>
                    </w:rPr>
                  </w:pPr>
                  <w:r w:rsidRPr="00F920BA">
                    <w:rPr>
                      <w:szCs w:val="18"/>
                    </w:rPr>
                    <w:t>ACT</w:t>
                  </w:r>
                </w:p>
              </w:tc>
              <w:tc>
                <w:tcPr>
                  <w:tcW w:w="442" w:type="pct"/>
                  <w:tcBorders>
                    <w:top w:val="single" w:sz="6" w:space="0" w:color="BFBFBF"/>
                    <w:left w:val="nil"/>
                    <w:bottom w:val="single" w:sz="6" w:space="0" w:color="BFBFBF"/>
                    <w:right w:val="nil"/>
                  </w:tcBorders>
                  <w:hideMark/>
                </w:tcPr>
                <w:p w14:paraId="32F6535E" w14:textId="77777777" w:rsidR="00466311" w:rsidRPr="00F920BA" w:rsidRDefault="00466311" w:rsidP="001708C1">
                  <w:pPr>
                    <w:pStyle w:val="TableColumnHeading"/>
                    <w:keepNext w:val="0"/>
                    <w:keepLines w:val="0"/>
                    <w:widowControl w:val="0"/>
                    <w:ind w:right="28"/>
                    <w:rPr>
                      <w:szCs w:val="18"/>
                    </w:rPr>
                  </w:pPr>
                  <w:r w:rsidRPr="00F920BA">
                    <w:rPr>
                      <w:szCs w:val="18"/>
                    </w:rPr>
                    <w:t>NT</w:t>
                  </w:r>
                </w:p>
              </w:tc>
            </w:tr>
            <w:tr w:rsidR="00466311" w14:paraId="67AB9446" w14:textId="77777777" w:rsidTr="001708C1">
              <w:trPr>
                <w:tblHeader/>
              </w:trPr>
              <w:tc>
                <w:tcPr>
                  <w:tcW w:w="1419" w:type="pct"/>
                  <w:tcBorders>
                    <w:left w:val="nil"/>
                    <w:bottom w:val="nil"/>
                    <w:right w:val="nil"/>
                  </w:tcBorders>
                </w:tcPr>
                <w:p w14:paraId="3B0D68A8" w14:textId="77777777" w:rsidR="00466311" w:rsidRPr="00EB631B" w:rsidRDefault="00466311" w:rsidP="001708C1">
                  <w:pPr>
                    <w:pStyle w:val="TableBodyText"/>
                    <w:keepNext w:val="0"/>
                    <w:keepLines w:val="0"/>
                    <w:widowControl w:val="0"/>
                    <w:ind w:left="284" w:hanging="278"/>
                    <w:jc w:val="left"/>
                    <w:rPr>
                      <w:rStyle w:val="NoteLabel"/>
                    </w:rPr>
                  </w:pPr>
                  <w:r w:rsidRPr="007F24DC">
                    <w:rPr>
                      <w:rFonts w:cs="Arial"/>
                      <w:b/>
                      <w:sz w:val="17"/>
                      <w:szCs w:val="18"/>
                    </w:rPr>
                    <w:t>Revaluation method</w:t>
                  </w:r>
                  <w:r>
                    <w:rPr>
                      <w:rStyle w:val="NoteLabel"/>
                    </w:rPr>
                    <w:t>a</w:t>
                  </w:r>
                </w:p>
              </w:tc>
              <w:tc>
                <w:tcPr>
                  <w:tcW w:w="457" w:type="pct"/>
                </w:tcPr>
                <w:p w14:paraId="0C74D252" w14:textId="77777777" w:rsidR="00466311" w:rsidRPr="007F24DC" w:rsidRDefault="00466311" w:rsidP="001708C1">
                  <w:pPr>
                    <w:pStyle w:val="TableBodyText"/>
                    <w:keepNext w:val="0"/>
                    <w:keepLines w:val="0"/>
                    <w:widowControl w:val="0"/>
                    <w:rPr>
                      <w:rFonts w:cs="Arial"/>
                      <w:sz w:val="17"/>
                      <w:szCs w:val="18"/>
                    </w:rPr>
                  </w:pPr>
                </w:p>
              </w:tc>
              <w:tc>
                <w:tcPr>
                  <w:tcW w:w="442" w:type="pct"/>
                </w:tcPr>
                <w:p w14:paraId="78B54CBB" w14:textId="77777777" w:rsidR="00466311" w:rsidRPr="007F24DC" w:rsidRDefault="00466311" w:rsidP="001708C1">
                  <w:pPr>
                    <w:pStyle w:val="TableBodyText"/>
                    <w:keepNext w:val="0"/>
                    <w:keepLines w:val="0"/>
                    <w:widowControl w:val="0"/>
                    <w:rPr>
                      <w:rFonts w:cs="Arial"/>
                      <w:sz w:val="17"/>
                      <w:szCs w:val="18"/>
                    </w:rPr>
                  </w:pPr>
                </w:p>
              </w:tc>
              <w:tc>
                <w:tcPr>
                  <w:tcW w:w="442" w:type="pct"/>
                </w:tcPr>
                <w:p w14:paraId="5E4DA3EF" w14:textId="77777777" w:rsidR="00466311" w:rsidRPr="007F24DC" w:rsidRDefault="00466311" w:rsidP="001708C1">
                  <w:pPr>
                    <w:pStyle w:val="TableBodyText"/>
                    <w:keepNext w:val="0"/>
                    <w:keepLines w:val="0"/>
                    <w:widowControl w:val="0"/>
                    <w:ind w:right="28"/>
                    <w:rPr>
                      <w:rFonts w:cs="Arial"/>
                      <w:sz w:val="17"/>
                      <w:szCs w:val="18"/>
                    </w:rPr>
                  </w:pPr>
                </w:p>
              </w:tc>
              <w:tc>
                <w:tcPr>
                  <w:tcW w:w="469" w:type="pct"/>
                </w:tcPr>
                <w:p w14:paraId="6396E75B" w14:textId="77777777" w:rsidR="00466311" w:rsidRPr="007F24DC" w:rsidRDefault="00466311" w:rsidP="001708C1">
                  <w:pPr>
                    <w:pStyle w:val="TableBodyText"/>
                    <w:keepNext w:val="0"/>
                    <w:keepLines w:val="0"/>
                    <w:widowControl w:val="0"/>
                    <w:ind w:right="28"/>
                    <w:rPr>
                      <w:rFonts w:cs="Arial"/>
                      <w:sz w:val="17"/>
                      <w:szCs w:val="18"/>
                    </w:rPr>
                  </w:pPr>
                </w:p>
              </w:tc>
              <w:tc>
                <w:tcPr>
                  <w:tcW w:w="443" w:type="pct"/>
                </w:tcPr>
                <w:p w14:paraId="2F367E9A" w14:textId="77777777" w:rsidR="00466311" w:rsidRPr="007F24DC" w:rsidRDefault="00466311" w:rsidP="001708C1">
                  <w:pPr>
                    <w:pStyle w:val="TableBodyText"/>
                    <w:keepNext w:val="0"/>
                    <w:keepLines w:val="0"/>
                    <w:widowControl w:val="0"/>
                    <w:ind w:right="28"/>
                    <w:rPr>
                      <w:rFonts w:cs="Arial"/>
                      <w:sz w:val="17"/>
                      <w:szCs w:val="18"/>
                    </w:rPr>
                  </w:pPr>
                </w:p>
              </w:tc>
              <w:tc>
                <w:tcPr>
                  <w:tcW w:w="443" w:type="pct"/>
                </w:tcPr>
                <w:p w14:paraId="58A3AD0A" w14:textId="77777777" w:rsidR="00466311" w:rsidRPr="007F24DC" w:rsidRDefault="00466311" w:rsidP="001708C1">
                  <w:pPr>
                    <w:pStyle w:val="TableBodyText"/>
                    <w:keepNext w:val="0"/>
                    <w:keepLines w:val="0"/>
                    <w:widowControl w:val="0"/>
                    <w:ind w:right="28"/>
                    <w:rPr>
                      <w:rFonts w:cs="Arial"/>
                      <w:sz w:val="17"/>
                      <w:szCs w:val="18"/>
                    </w:rPr>
                  </w:pPr>
                </w:p>
              </w:tc>
              <w:tc>
                <w:tcPr>
                  <w:tcW w:w="443" w:type="pct"/>
                </w:tcPr>
                <w:p w14:paraId="1A324355" w14:textId="77777777" w:rsidR="00466311" w:rsidRPr="007F24DC" w:rsidRDefault="00466311" w:rsidP="001708C1">
                  <w:pPr>
                    <w:pStyle w:val="TableBodyText"/>
                    <w:keepNext w:val="0"/>
                    <w:keepLines w:val="0"/>
                    <w:widowControl w:val="0"/>
                    <w:ind w:right="28"/>
                    <w:rPr>
                      <w:rFonts w:cs="Arial"/>
                      <w:sz w:val="17"/>
                      <w:szCs w:val="18"/>
                    </w:rPr>
                  </w:pPr>
                </w:p>
              </w:tc>
              <w:tc>
                <w:tcPr>
                  <w:tcW w:w="442" w:type="pct"/>
                </w:tcPr>
                <w:p w14:paraId="154DE089" w14:textId="77777777" w:rsidR="00466311" w:rsidRPr="007F24DC" w:rsidRDefault="00466311" w:rsidP="001708C1">
                  <w:pPr>
                    <w:pStyle w:val="TableBodyText"/>
                    <w:keepNext w:val="0"/>
                    <w:keepLines w:val="0"/>
                    <w:widowControl w:val="0"/>
                    <w:ind w:right="28"/>
                    <w:rPr>
                      <w:rFonts w:cs="Arial"/>
                      <w:sz w:val="17"/>
                      <w:szCs w:val="18"/>
                    </w:rPr>
                  </w:pPr>
                </w:p>
              </w:tc>
            </w:tr>
            <w:tr w:rsidR="00466311" w14:paraId="3A382F43" w14:textId="77777777" w:rsidTr="001708C1">
              <w:trPr>
                <w:tblHeader/>
              </w:trPr>
              <w:tc>
                <w:tcPr>
                  <w:tcW w:w="1419" w:type="pct"/>
                  <w:tcBorders>
                    <w:top w:val="nil"/>
                    <w:left w:val="nil"/>
                    <w:bottom w:val="nil"/>
                    <w:right w:val="nil"/>
                  </w:tcBorders>
                  <w:shd w:val="clear" w:color="auto" w:fill="auto"/>
                </w:tcPr>
                <w:p w14:paraId="3C643D96" w14:textId="77777777" w:rsidR="00466311" w:rsidRPr="007F24DC" w:rsidRDefault="00466311" w:rsidP="001708C1">
                  <w:pPr>
                    <w:pStyle w:val="TableBullet"/>
                    <w:rPr>
                      <w:rFonts w:cs="Arial"/>
                      <w:sz w:val="17"/>
                      <w:szCs w:val="18"/>
                    </w:rPr>
                  </w:pPr>
                  <w:r w:rsidRPr="007F24DC">
                    <w:rPr>
                      <w:rFonts w:cs="Arial"/>
                      <w:sz w:val="17"/>
                      <w:szCs w:val="18"/>
                    </w:rPr>
                    <w:t>Land</w:t>
                  </w:r>
                </w:p>
              </w:tc>
              <w:tc>
                <w:tcPr>
                  <w:tcW w:w="457" w:type="pct"/>
                  <w:tcBorders>
                    <w:left w:val="nil"/>
                    <w:bottom w:val="nil"/>
                    <w:right w:val="nil"/>
                  </w:tcBorders>
                  <w:shd w:val="clear" w:color="auto" w:fill="auto"/>
                </w:tcPr>
                <w:p w14:paraId="6C9B7C81" w14:textId="77777777" w:rsidR="00466311" w:rsidRPr="00B87A10" w:rsidRDefault="00466311" w:rsidP="001708C1">
                  <w:pPr>
                    <w:pStyle w:val="TableBodyText"/>
                    <w:rPr>
                      <w:rFonts w:cs="Arial"/>
                      <w:sz w:val="17"/>
                    </w:rPr>
                  </w:pPr>
                  <w:r w:rsidRPr="00B87A10">
                    <w:rPr>
                      <w:rFonts w:cs="Arial"/>
                      <w:sz w:val="17"/>
                    </w:rPr>
                    <w:t>Market value</w:t>
                  </w:r>
                </w:p>
              </w:tc>
              <w:tc>
                <w:tcPr>
                  <w:tcW w:w="442" w:type="pct"/>
                  <w:tcBorders>
                    <w:top w:val="nil"/>
                    <w:left w:val="nil"/>
                    <w:bottom w:val="nil"/>
                    <w:right w:val="nil"/>
                  </w:tcBorders>
                  <w:shd w:val="clear" w:color="auto" w:fill="auto"/>
                </w:tcPr>
                <w:p w14:paraId="240458FA" w14:textId="77777777" w:rsidR="00466311" w:rsidRPr="00B87A10" w:rsidRDefault="00466311" w:rsidP="001708C1">
                  <w:pPr>
                    <w:pStyle w:val="TableBodyText"/>
                    <w:rPr>
                      <w:rFonts w:cs="Arial"/>
                      <w:sz w:val="17"/>
                    </w:rPr>
                  </w:pPr>
                  <w:r w:rsidRPr="00B87A10">
                    <w:rPr>
                      <w:rFonts w:cs="Arial"/>
                      <w:sz w:val="17"/>
                    </w:rPr>
                    <w:t>Fair value</w:t>
                  </w:r>
                </w:p>
              </w:tc>
              <w:tc>
                <w:tcPr>
                  <w:tcW w:w="442" w:type="pct"/>
                  <w:tcBorders>
                    <w:top w:val="nil"/>
                    <w:left w:val="nil"/>
                    <w:bottom w:val="nil"/>
                    <w:right w:val="nil"/>
                  </w:tcBorders>
                  <w:shd w:val="clear" w:color="auto" w:fill="auto"/>
                </w:tcPr>
                <w:p w14:paraId="55D628E4" w14:textId="77777777" w:rsidR="00466311" w:rsidRPr="00B87A10" w:rsidRDefault="00466311" w:rsidP="001708C1">
                  <w:pPr>
                    <w:pStyle w:val="TableBodyText"/>
                    <w:rPr>
                      <w:rFonts w:cs="Arial"/>
                      <w:sz w:val="17"/>
                    </w:rPr>
                  </w:pPr>
                  <w:r w:rsidRPr="00B87A10">
                    <w:rPr>
                      <w:rFonts w:cs="Arial"/>
                      <w:sz w:val="17"/>
                    </w:rPr>
                    <w:t>Fair value</w:t>
                  </w:r>
                </w:p>
              </w:tc>
              <w:tc>
                <w:tcPr>
                  <w:tcW w:w="469" w:type="pct"/>
                  <w:tcBorders>
                    <w:top w:val="nil"/>
                    <w:left w:val="nil"/>
                    <w:bottom w:val="nil"/>
                    <w:right w:val="nil"/>
                  </w:tcBorders>
                  <w:shd w:val="clear" w:color="auto" w:fill="auto"/>
                </w:tcPr>
                <w:p w14:paraId="13EB83E7"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4D2FFCEC"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4506D8EE"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32BCEB38" w14:textId="77777777" w:rsidR="00466311" w:rsidRPr="00B87A10" w:rsidRDefault="00466311" w:rsidP="001708C1">
                  <w:pPr>
                    <w:pStyle w:val="TableBodyText"/>
                    <w:rPr>
                      <w:rFonts w:cs="Arial"/>
                      <w:sz w:val="17"/>
                    </w:rPr>
                  </w:pPr>
                  <w:r w:rsidRPr="00B87A10">
                    <w:rPr>
                      <w:rFonts w:cs="Arial"/>
                      <w:sz w:val="17"/>
                    </w:rPr>
                    <w:t>Market</w:t>
                  </w:r>
                </w:p>
              </w:tc>
              <w:tc>
                <w:tcPr>
                  <w:tcW w:w="442" w:type="pct"/>
                  <w:tcBorders>
                    <w:top w:val="nil"/>
                    <w:left w:val="nil"/>
                    <w:bottom w:val="nil"/>
                    <w:right w:val="nil"/>
                  </w:tcBorders>
                  <w:shd w:val="clear" w:color="auto" w:fill="auto"/>
                </w:tcPr>
                <w:p w14:paraId="14988522" w14:textId="77777777" w:rsidR="00466311" w:rsidRPr="00B87A10" w:rsidRDefault="00466311" w:rsidP="001708C1">
                  <w:pPr>
                    <w:pStyle w:val="TableBodyText"/>
                    <w:rPr>
                      <w:rFonts w:cs="Arial"/>
                      <w:sz w:val="17"/>
                    </w:rPr>
                  </w:pPr>
                  <w:r w:rsidRPr="00B87A10">
                    <w:rPr>
                      <w:rFonts w:cs="Arial"/>
                      <w:sz w:val="17"/>
                    </w:rPr>
                    <w:t>Market</w:t>
                  </w:r>
                </w:p>
              </w:tc>
            </w:tr>
            <w:tr w:rsidR="00466311" w14:paraId="598DF151" w14:textId="77777777" w:rsidTr="001708C1">
              <w:trPr>
                <w:tblHeader/>
              </w:trPr>
              <w:tc>
                <w:tcPr>
                  <w:tcW w:w="1419" w:type="pct"/>
                  <w:tcBorders>
                    <w:top w:val="nil"/>
                    <w:left w:val="nil"/>
                    <w:bottom w:val="nil"/>
                    <w:right w:val="nil"/>
                  </w:tcBorders>
                  <w:shd w:val="clear" w:color="auto" w:fill="auto"/>
                </w:tcPr>
                <w:p w14:paraId="1879E2E0" w14:textId="77777777" w:rsidR="00466311" w:rsidRPr="007F24DC" w:rsidRDefault="00466311" w:rsidP="001708C1">
                  <w:pPr>
                    <w:pStyle w:val="TableBullet"/>
                    <w:rPr>
                      <w:rFonts w:cs="Arial"/>
                      <w:sz w:val="17"/>
                      <w:szCs w:val="18"/>
                    </w:rPr>
                  </w:pPr>
                  <w:r w:rsidRPr="007F24DC">
                    <w:rPr>
                      <w:rFonts w:cs="Arial"/>
                      <w:sz w:val="17"/>
                      <w:szCs w:val="18"/>
                    </w:rPr>
                    <w:t>Buildings</w:t>
                  </w:r>
                </w:p>
              </w:tc>
              <w:tc>
                <w:tcPr>
                  <w:tcW w:w="457" w:type="pct"/>
                  <w:tcBorders>
                    <w:top w:val="nil"/>
                    <w:left w:val="nil"/>
                    <w:bottom w:val="nil"/>
                    <w:right w:val="nil"/>
                  </w:tcBorders>
                  <w:shd w:val="clear" w:color="auto" w:fill="auto"/>
                </w:tcPr>
                <w:p w14:paraId="1701746F" w14:textId="77777777" w:rsidR="00466311" w:rsidRPr="00B87A10" w:rsidRDefault="00466311" w:rsidP="001708C1">
                  <w:pPr>
                    <w:pStyle w:val="TableBodyText"/>
                    <w:rPr>
                      <w:rFonts w:cs="Arial"/>
                      <w:sz w:val="17"/>
                    </w:rPr>
                  </w:pPr>
                  <w:r w:rsidRPr="00B87A10">
                    <w:rPr>
                      <w:rFonts w:cs="Arial"/>
                      <w:sz w:val="17"/>
                    </w:rPr>
                    <w:t>Written down replacement value</w:t>
                  </w:r>
                </w:p>
              </w:tc>
              <w:tc>
                <w:tcPr>
                  <w:tcW w:w="442" w:type="pct"/>
                  <w:tcBorders>
                    <w:top w:val="nil"/>
                    <w:left w:val="nil"/>
                    <w:bottom w:val="nil"/>
                    <w:right w:val="nil"/>
                  </w:tcBorders>
                  <w:shd w:val="clear" w:color="auto" w:fill="auto"/>
                </w:tcPr>
                <w:p w14:paraId="2DDC7D9F" w14:textId="77777777" w:rsidR="00466311" w:rsidRPr="00B87A10" w:rsidRDefault="00466311" w:rsidP="001708C1">
                  <w:pPr>
                    <w:pStyle w:val="TableBodyText"/>
                    <w:rPr>
                      <w:rFonts w:cs="Arial"/>
                      <w:sz w:val="17"/>
                    </w:rPr>
                  </w:pPr>
                  <w:r w:rsidRPr="00B87A10">
                    <w:rPr>
                      <w:rFonts w:cs="Arial"/>
                      <w:sz w:val="17"/>
                    </w:rPr>
                    <w:t>Fair value</w:t>
                  </w:r>
                </w:p>
              </w:tc>
              <w:tc>
                <w:tcPr>
                  <w:tcW w:w="442" w:type="pct"/>
                  <w:tcBorders>
                    <w:top w:val="nil"/>
                    <w:left w:val="nil"/>
                    <w:bottom w:val="nil"/>
                    <w:right w:val="nil"/>
                  </w:tcBorders>
                  <w:shd w:val="clear" w:color="auto" w:fill="auto"/>
                </w:tcPr>
                <w:p w14:paraId="7ECC188C" w14:textId="77777777" w:rsidR="00466311" w:rsidRPr="00B87A10" w:rsidRDefault="00466311" w:rsidP="001708C1">
                  <w:pPr>
                    <w:pStyle w:val="TableBodyText"/>
                    <w:rPr>
                      <w:rFonts w:cs="Arial"/>
                      <w:sz w:val="17"/>
                    </w:rPr>
                  </w:pPr>
                  <w:r w:rsidRPr="00B87A10">
                    <w:rPr>
                      <w:rFonts w:cs="Arial"/>
                      <w:sz w:val="17"/>
                    </w:rPr>
                    <w:t>Fair value</w:t>
                  </w:r>
                </w:p>
              </w:tc>
              <w:tc>
                <w:tcPr>
                  <w:tcW w:w="469" w:type="pct"/>
                  <w:tcBorders>
                    <w:top w:val="nil"/>
                    <w:left w:val="nil"/>
                    <w:bottom w:val="nil"/>
                    <w:right w:val="nil"/>
                  </w:tcBorders>
                  <w:shd w:val="clear" w:color="auto" w:fill="auto"/>
                </w:tcPr>
                <w:p w14:paraId="76D6A040"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22CEBEF2"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708021F4"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7EA377E3" w14:textId="77777777" w:rsidR="00466311" w:rsidRPr="00B87A10" w:rsidRDefault="00466311" w:rsidP="001708C1">
                  <w:pPr>
                    <w:pStyle w:val="TableBodyText"/>
                    <w:rPr>
                      <w:rFonts w:cs="Arial"/>
                      <w:sz w:val="17"/>
                    </w:rPr>
                  </w:pPr>
                  <w:r w:rsidRPr="00B87A10">
                    <w:rPr>
                      <w:rFonts w:cs="Arial"/>
                      <w:sz w:val="17"/>
                    </w:rPr>
                    <w:t>Market</w:t>
                  </w:r>
                </w:p>
              </w:tc>
              <w:tc>
                <w:tcPr>
                  <w:tcW w:w="442" w:type="pct"/>
                  <w:tcBorders>
                    <w:top w:val="nil"/>
                    <w:left w:val="nil"/>
                    <w:bottom w:val="nil"/>
                    <w:right w:val="nil"/>
                  </w:tcBorders>
                  <w:shd w:val="clear" w:color="auto" w:fill="auto"/>
                </w:tcPr>
                <w:p w14:paraId="603B2F2E" w14:textId="77777777" w:rsidR="00466311" w:rsidRPr="00B87A10" w:rsidRDefault="00466311" w:rsidP="001708C1">
                  <w:pPr>
                    <w:pStyle w:val="TableBodyText"/>
                    <w:rPr>
                      <w:rFonts w:cs="Arial"/>
                      <w:sz w:val="17"/>
                    </w:rPr>
                  </w:pPr>
                  <w:r w:rsidRPr="00B87A10">
                    <w:rPr>
                      <w:rFonts w:cs="Arial"/>
                      <w:sz w:val="17"/>
                    </w:rPr>
                    <w:t>Market</w:t>
                  </w:r>
                </w:p>
              </w:tc>
            </w:tr>
            <w:tr w:rsidR="00466311" w14:paraId="66BC2E02" w14:textId="77777777" w:rsidTr="001708C1">
              <w:trPr>
                <w:tblHeader/>
              </w:trPr>
              <w:tc>
                <w:tcPr>
                  <w:tcW w:w="1419" w:type="pct"/>
                  <w:tcBorders>
                    <w:top w:val="nil"/>
                    <w:left w:val="nil"/>
                    <w:bottom w:val="nil"/>
                    <w:right w:val="nil"/>
                  </w:tcBorders>
                  <w:shd w:val="clear" w:color="auto" w:fill="auto"/>
                </w:tcPr>
                <w:p w14:paraId="356FA910" w14:textId="77777777" w:rsidR="00466311" w:rsidRPr="007F24DC" w:rsidRDefault="00466311" w:rsidP="001708C1">
                  <w:pPr>
                    <w:pStyle w:val="TableBullet"/>
                    <w:rPr>
                      <w:rFonts w:cs="Arial"/>
                      <w:sz w:val="17"/>
                      <w:szCs w:val="18"/>
                    </w:rPr>
                  </w:pPr>
                  <w:r>
                    <w:rPr>
                      <w:rFonts w:cs="Arial"/>
                      <w:sz w:val="17"/>
                      <w:szCs w:val="18"/>
                    </w:rPr>
                    <w:t>Other assets</w:t>
                  </w:r>
                </w:p>
              </w:tc>
              <w:tc>
                <w:tcPr>
                  <w:tcW w:w="457" w:type="pct"/>
                  <w:tcBorders>
                    <w:top w:val="nil"/>
                    <w:left w:val="nil"/>
                    <w:bottom w:val="nil"/>
                    <w:right w:val="nil"/>
                  </w:tcBorders>
                  <w:shd w:val="clear" w:color="auto" w:fill="auto"/>
                </w:tcPr>
                <w:p w14:paraId="17B58F3A" w14:textId="5B178DE4" w:rsidR="00466311" w:rsidRPr="00B87A10" w:rsidRDefault="00466311" w:rsidP="001708C1">
                  <w:pPr>
                    <w:pStyle w:val="TableBodyText"/>
                    <w:rPr>
                      <w:rFonts w:cs="Arial"/>
                      <w:sz w:val="17"/>
                    </w:rPr>
                  </w:pPr>
                  <w:r w:rsidRPr="00B87A10">
                    <w:rPr>
                      <w:rFonts w:cs="Arial"/>
                      <w:sz w:val="17"/>
                    </w:rPr>
                    <w:t>Straight</w:t>
                  </w:r>
                  <w:r w:rsidR="008735A5">
                    <w:rPr>
                      <w:rFonts w:cs="Arial"/>
                      <w:sz w:val="17"/>
                    </w:rPr>
                    <w:noBreakHyphen/>
                  </w:r>
                  <w:r w:rsidRPr="00B87A10">
                    <w:rPr>
                      <w:rFonts w:cs="Arial"/>
                      <w:sz w:val="17"/>
                    </w:rPr>
                    <w:t>line depreciation over useful life</w:t>
                  </w:r>
                </w:p>
              </w:tc>
              <w:tc>
                <w:tcPr>
                  <w:tcW w:w="442" w:type="pct"/>
                  <w:tcBorders>
                    <w:top w:val="nil"/>
                    <w:left w:val="nil"/>
                    <w:bottom w:val="nil"/>
                    <w:right w:val="nil"/>
                  </w:tcBorders>
                  <w:shd w:val="clear" w:color="auto" w:fill="auto"/>
                </w:tcPr>
                <w:p w14:paraId="2B445154" w14:textId="77777777" w:rsidR="00466311" w:rsidRPr="00B87A10" w:rsidRDefault="00466311" w:rsidP="001708C1">
                  <w:pPr>
                    <w:pStyle w:val="TableBodyText"/>
                    <w:rPr>
                      <w:rFonts w:cs="Arial"/>
                      <w:sz w:val="17"/>
                    </w:rPr>
                  </w:pPr>
                  <w:r w:rsidRPr="00B87A10">
                    <w:rPr>
                      <w:rFonts w:cs="Arial"/>
                      <w:sz w:val="17"/>
                    </w:rPr>
                    <w:t>Fair value</w:t>
                  </w:r>
                </w:p>
              </w:tc>
              <w:tc>
                <w:tcPr>
                  <w:tcW w:w="442" w:type="pct"/>
                  <w:tcBorders>
                    <w:top w:val="nil"/>
                    <w:left w:val="nil"/>
                    <w:bottom w:val="nil"/>
                    <w:right w:val="nil"/>
                  </w:tcBorders>
                  <w:shd w:val="clear" w:color="auto" w:fill="auto"/>
                </w:tcPr>
                <w:p w14:paraId="76F0D243" w14:textId="77777777" w:rsidR="00466311" w:rsidRPr="00B87A10" w:rsidRDefault="00466311" w:rsidP="001708C1">
                  <w:pPr>
                    <w:pStyle w:val="TableBodyText"/>
                    <w:rPr>
                      <w:rFonts w:cs="Arial"/>
                      <w:sz w:val="17"/>
                    </w:rPr>
                  </w:pPr>
                  <w:r w:rsidRPr="00B87A10">
                    <w:rPr>
                      <w:rFonts w:cs="Arial"/>
                      <w:sz w:val="17"/>
                    </w:rPr>
                    <w:t>Cost (aircraft are at market valuation)</w:t>
                  </w:r>
                </w:p>
              </w:tc>
              <w:tc>
                <w:tcPr>
                  <w:tcW w:w="469" w:type="pct"/>
                  <w:tcBorders>
                    <w:top w:val="nil"/>
                    <w:left w:val="nil"/>
                    <w:bottom w:val="nil"/>
                    <w:right w:val="nil"/>
                  </w:tcBorders>
                  <w:shd w:val="clear" w:color="auto" w:fill="auto"/>
                </w:tcPr>
                <w:p w14:paraId="0FBF50E0" w14:textId="77777777" w:rsidR="00466311" w:rsidRPr="00B87A10" w:rsidRDefault="00466311" w:rsidP="001708C1">
                  <w:pPr>
                    <w:pStyle w:val="TableBodyText"/>
                    <w:rPr>
                      <w:rFonts w:cs="Arial"/>
                      <w:sz w:val="17"/>
                    </w:rPr>
                  </w:pPr>
                  <w:r w:rsidRPr="00B87A10">
                    <w:rPr>
                      <w:rFonts w:cs="Arial"/>
                      <w:sz w:val="17"/>
                    </w:rPr>
                    <w:t>Cost</w:t>
                  </w:r>
                </w:p>
              </w:tc>
              <w:tc>
                <w:tcPr>
                  <w:tcW w:w="443" w:type="pct"/>
                  <w:tcBorders>
                    <w:top w:val="nil"/>
                    <w:left w:val="nil"/>
                    <w:bottom w:val="nil"/>
                    <w:right w:val="nil"/>
                  </w:tcBorders>
                  <w:shd w:val="clear" w:color="auto" w:fill="auto"/>
                </w:tcPr>
                <w:p w14:paraId="398E50A8" w14:textId="77777777" w:rsidR="00466311" w:rsidRPr="00B87A10" w:rsidRDefault="00466311" w:rsidP="001708C1">
                  <w:pPr>
                    <w:pStyle w:val="TableBodyText"/>
                    <w:rPr>
                      <w:rFonts w:cs="Arial"/>
                      <w:sz w:val="17"/>
                    </w:rPr>
                  </w:pPr>
                  <w:r w:rsidRPr="00B87A10">
                    <w:rPr>
                      <w:rFonts w:cs="Arial"/>
                      <w:sz w:val="17"/>
                    </w:rPr>
                    <w:t>Cost</w:t>
                  </w:r>
                </w:p>
              </w:tc>
              <w:tc>
                <w:tcPr>
                  <w:tcW w:w="443" w:type="pct"/>
                  <w:tcBorders>
                    <w:top w:val="nil"/>
                    <w:left w:val="nil"/>
                    <w:bottom w:val="nil"/>
                    <w:right w:val="nil"/>
                  </w:tcBorders>
                  <w:shd w:val="clear" w:color="auto" w:fill="auto"/>
                </w:tcPr>
                <w:p w14:paraId="23B9081D" w14:textId="77777777" w:rsidR="00466311" w:rsidRPr="00B87A10" w:rsidRDefault="00466311" w:rsidP="001708C1">
                  <w:pPr>
                    <w:pStyle w:val="TableBodyText"/>
                    <w:rPr>
                      <w:rFonts w:cs="Arial"/>
                      <w:sz w:val="17"/>
                    </w:rPr>
                  </w:pPr>
                  <w:r w:rsidRPr="00B87A10">
                    <w:rPr>
                      <w:rFonts w:cs="Arial"/>
                      <w:sz w:val="17"/>
                    </w:rPr>
                    <w:t>Cost</w:t>
                  </w:r>
                </w:p>
              </w:tc>
              <w:tc>
                <w:tcPr>
                  <w:tcW w:w="443" w:type="pct"/>
                  <w:tcBorders>
                    <w:top w:val="nil"/>
                    <w:left w:val="nil"/>
                    <w:bottom w:val="nil"/>
                    <w:right w:val="nil"/>
                  </w:tcBorders>
                  <w:shd w:val="clear" w:color="auto" w:fill="auto"/>
                </w:tcPr>
                <w:p w14:paraId="0C78F42A" w14:textId="77777777" w:rsidR="00466311" w:rsidRPr="00B87A10" w:rsidRDefault="00466311" w:rsidP="001708C1">
                  <w:pPr>
                    <w:pStyle w:val="TableBodyText"/>
                    <w:rPr>
                      <w:rFonts w:cs="Arial"/>
                      <w:sz w:val="17"/>
                    </w:rPr>
                  </w:pPr>
                  <w:r w:rsidRPr="00B87A10">
                    <w:rPr>
                      <w:rFonts w:cs="Arial"/>
                      <w:sz w:val="17"/>
                    </w:rPr>
                    <w:t>Deprival</w:t>
                  </w:r>
                </w:p>
              </w:tc>
              <w:tc>
                <w:tcPr>
                  <w:tcW w:w="442" w:type="pct"/>
                  <w:tcBorders>
                    <w:top w:val="nil"/>
                    <w:left w:val="nil"/>
                    <w:bottom w:val="nil"/>
                    <w:right w:val="nil"/>
                  </w:tcBorders>
                  <w:shd w:val="clear" w:color="auto" w:fill="auto"/>
                </w:tcPr>
                <w:p w14:paraId="173BA881" w14:textId="115E1B50" w:rsidR="00466311" w:rsidRPr="00B87A10" w:rsidRDefault="00466311" w:rsidP="001708C1">
                  <w:pPr>
                    <w:pStyle w:val="TableBodyText"/>
                    <w:rPr>
                      <w:rFonts w:cs="Arial"/>
                      <w:sz w:val="17"/>
                    </w:rPr>
                  </w:pPr>
                  <w:r w:rsidRPr="00B87A10">
                    <w:rPr>
                      <w:rFonts w:cs="Arial"/>
                      <w:sz w:val="17"/>
                    </w:rPr>
                    <w:t xml:space="preserve">Cost </w:t>
                  </w:r>
                  <w:r w:rsidR="008735A5">
                    <w:rPr>
                      <w:rFonts w:cs="Arial"/>
                      <w:sz w:val="17"/>
                    </w:rPr>
                    <w:noBreakHyphen/>
                  </w:r>
                  <w:r w:rsidRPr="00B87A10">
                    <w:rPr>
                      <w:rFonts w:cs="Arial"/>
                      <w:sz w:val="17"/>
                    </w:rPr>
                    <w:t xml:space="preserve"> only land &amp; buildings revalued</w:t>
                  </w:r>
                </w:p>
              </w:tc>
            </w:tr>
            <w:tr w:rsidR="00466311" w14:paraId="0B5E41F5" w14:textId="77777777" w:rsidTr="001708C1">
              <w:trPr>
                <w:tblHeader/>
              </w:trPr>
              <w:tc>
                <w:tcPr>
                  <w:tcW w:w="1419" w:type="pct"/>
                  <w:tcBorders>
                    <w:top w:val="nil"/>
                    <w:left w:val="nil"/>
                    <w:bottom w:val="nil"/>
                    <w:right w:val="nil"/>
                  </w:tcBorders>
                  <w:shd w:val="clear" w:color="auto" w:fill="auto"/>
                </w:tcPr>
                <w:p w14:paraId="5C3DF810" w14:textId="77777777" w:rsidR="00466311" w:rsidRPr="007F24DC" w:rsidRDefault="00466311" w:rsidP="001708C1">
                  <w:pPr>
                    <w:pStyle w:val="TableBullet"/>
                    <w:numPr>
                      <w:ilvl w:val="0"/>
                      <w:numId w:val="0"/>
                    </w:numPr>
                    <w:ind w:left="170" w:hanging="170"/>
                    <w:rPr>
                      <w:rFonts w:cs="Arial"/>
                      <w:sz w:val="17"/>
                      <w:szCs w:val="18"/>
                    </w:rPr>
                  </w:pPr>
                  <w:r w:rsidRPr="007F24DC">
                    <w:rPr>
                      <w:rFonts w:cs="Arial"/>
                      <w:b/>
                      <w:sz w:val="17"/>
                      <w:szCs w:val="18"/>
                    </w:rPr>
                    <w:t>Frequency of revaluations (years)</w:t>
                  </w:r>
                </w:p>
              </w:tc>
              <w:tc>
                <w:tcPr>
                  <w:tcW w:w="457" w:type="pct"/>
                  <w:tcBorders>
                    <w:top w:val="nil"/>
                    <w:left w:val="nil"/>
                    <w:bottom w:val="nil"/>
                    <w:right w:val="nil"/>
                  </w:tcBorders>
                  <w:shd w:val="clear" w:color="auto" w:fill="auto"/>
                </w:tcPr>
                <w:p w14:paraId="506268E2"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6A5E9598"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499DCCD9" w14:textId="77777777" w:rsidR="00466311" w:rsidRPr="00B87A10" w:rsidRDefault="00466311" w:rsidP="001708C1">
                  <w:pPr>
                    <w:pStyle w:val="TableBodyText"/>
                    <w:rPr>
                      <w:rFonts w:cs="Arial"/>
                      <w:sz w:val="17"/>
                    </w:rPr>
                  </w:pPr>
                </w:p>
              </w:tc>
              <w:tc>
                <w:tcPr>
                  <w:tcW w:w="469" w:type="pct"/>
                  <w:tcBorders>
                    <w:top w:val="nil"/>
                    <w:left w:val="nil"/>
                    <w:bottom w:val="nil"/>
                    <w:right w:val="nil"/>
                  </w:tcBorders>
                  <w:shd w:val="clear" w:color="auto" w:fill="auto"/>
                </w:tcPr>
                <w:p w14:paraId="45C87880"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36C38DE8"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0727DB18"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1F0CEB15"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4DA3436B" w14:textId="77777777" w:rsidR="00466311" w:rsidRPr="00B87A10" w:rsidRDefault="00466311" w:rsidP="001708C1">
                  <w:pPr>
                    <w:pStyle w:val="TableBodyText"/>
                    <w:rPr>
                      <w:rFonts w:cs="Arial"/>
                      <w:sz w:val="17"/>
                    </w:rPr>
                  </w:pPr>
                </w:p>
              </w:tc>
            </w:tr>
            <w:tr w:rsidR="00466311" w14:paraId="2D30F729" w14:textId="77777777" w:rsidTr="001708C1">
              <w:trPr>
                <w:tblHeader/>
              </w:trPr>
              <w:tc>
                <w:tcPr>
                  <w:tcW w:w="1419" w:type="pct"/>
                  <w:tcBorders>
                    <w:left w:val="nil"/>
                    <w:right w:val="nil"/>
                  </w:tcBorders>
                </w:tcPr>
                <w:p w14:paraId="3A14FE90" w14:textId="77777777" w:rsidR="00466311" w:rsidRPr="007F24DC" w:rsidRDefault="00466311" w:rsidP="001708C1">
                  <w:pPr>
                    <w:pStyle w:val="TableBullet"/>
                    <w:rPr>
                      <w:rFonts w:cs="Arial"/>
                      <w:sz w:val="17"/>
                      <w:szCs w:val="18"/>
                    </w:rPr>
                  </w:pPr>
                  <w:r>
                    <w:rPr>
                      <w:rFonts w:cs="Arial"/>
                      <w:sz w:val="17"/>
                      <w:szCs w:val="16"/>
                    </w:rPr>
                    <w:t>Land</w:t>
                  </w:r>
                </w:p>
              </w:tc>
              <w:tc>
                <w:tcPr>
                  <w:tcW w:w="457" w:type="pct"/>
                  <w:tcBorders>
                    <w:left w:val="nil"/>
                    <w:bottom w:val="nil"/>
                    <w:right w:val="nil"/>
                  </w:tcBorders>
                </w:tcPr>
                <w:p w14:paraId="5276BABF" w14:textId="77777777" w:rsidR="00466311" w:rsidRPr="00B87A10" w:rsidRDefault="00466311" w:rsidP="001708C1">
                  <w:pPr>
                    <w:pStyle w:val="TableBodyText"/>
                    <w:rPr>
                      <w:rFonts w:cs="Arial"/>
                      <w:sz w:val="17"/>
                    </w:rPr>
                  </w:pPr>
                  <w:r w:rsidRPr="00B87A10">
                    <w:rPr>
                      <w:rFonts w:cs="Arial"/>
                      <w:sz w:val="17"/>
                    </w:rPr>
                    <w:t>3</w:t>
                  </w:r>
                </w:p>
              </w:tc>
              <w:tc>
                <w:tcPr>
                  <w:tcW w:w="442" w:type="pct"/>
                  <w:tcBorders>
                    <w:left w:val="nil"/>
                    <w:bottom w:val="nil"/>
                    <w:right w:val="nil"/>
                  </w:tcBorders>
                </w:tcPr>
                <w:p w14:paraId="2FE70276" w14:textId="77777777" w:rsidR="00466311" w:rsidRPr="00B87A10" w:rsidRDefault="00466311" w:rsidP="001708C1">
                  <w:pPr>
                    <w:pStyle w:val="TableBodyText"/>
                    <w:rPr>
                      <w:rFonts w:cs="Arial"/>
                      <w:sz w:val="17"/>
                    </w:rPr>
                  </w:pPr>
                  <w:r w:rsidRPr="00B87A10">
                    <w:rPr>
                      <w:rFonts w:cs="Arial"/>
                      <w:sz w:val="17"/>
                    </w:rPr>
                    <w:t>5</w:t>
                  </w:r>
                </w:p>
              </w:tc>
              <w:tc>
                <w:tcPr>
                  <w:tcW w:w="442" w:type="pct"/>
                  <w:tcBorders>
                    <w:left w:val="nil"/>
                    <w:bottom w:val="nil"/>
                    <w:right w:val="nil"/>
                  </w:tcBorders>
                </w:tcPr>
                <w:p w14:paraId="4C5630DF" w14:textId="6172C721" w:rsidR="00466311" w:rsidRPr="00B87A10" w:rsidRDefault="00466311" w:rsidP="001708C1">
                  <w:pPr>
                    <w:pStyle w:val="TableBodyText"/>
                    <w:rPr>
                      <w:rFonts w:cs="Arial"/>
                      <w:sz w:val="17"/>
                    </w:rPr>
                  </w:pPr>
                  <w:r w:rsidRPr="00B87A10">
                    <w:rPr>
                      <w:rFonts w:cs="Arial"/>
                      <w:sz w:val="17"/>
                    </w:rPr>
                    <w:t xml:space="preserve">Annual over a </w:t>
                  </w:r>
                  <w:r w:rsidR="0041556E" w:rsidRPr="00B87A10">
                    <w:rPr>
                      <w:rFonts w:cs="Arial"/>
                      <w:sz w:val="17"/>
                    </w:rPr>
                    <w:t>f</w:t>
                  </w:r>
                  <w:r w:rsidR="0041556E">
                    <w:rPr>
                      <w:rFonts w:cs="Arial"/>
                      <w:sz w:val="17"/>
                    </w:rPr>
                    <w:t>our</w:t>
                  </w:r>
                  <w:r w:rsidR="008735A5">
                    <w:rPr>
                      <w:rFonts w:cs="Arial"/>
                      <w:sz w:val="17"/>
                    </w:rPr>
                    <w:noBreakHyphen/>
                  </w:r>
                  <w:r w:rsidR="0041556E" w:rsidRPr="00B87A10">
                    <w:rPr>
                      <w:rFonts w:cs="Arial"/>
                      <w:sz w:val="17"/>
                    </w:rPr>
                    <w:t>year</w:t>
                  </w:r>
                  <w:r w:rsidRPr="00B87A10">
                    <w:rPr>
                      <w:rFonts w:cs="Arial"/>
                      <w:sz w:val="17"/>
                    </w:rPr>
                    <w:t xml:space="preserve"> rolling plan</w:t>
                  </w:r>
                </w:p>
              </w:tc>
              <w:tc>
                <w:tcPr>
                  <w:tcW w:w="469" w:type="pct"/>
                  <w:tcBorders>
                    <w:left w:val="nil"/>
                    <w:bottom w:val="nil"/>
                    <w:right w:val="nil"/>
                  </w:tcBorders>
                </w:tcPr>
                <w:p w14:paraId="219DCA35" w14:textId="77777777" w:rsidR="00466311" w:rsidRPr="00B87A10" w:rsidRDefault="00466311" w:rsidP="001708C1">
                  <w:pPr>
                    <w:pStyle w:val="TableBodyText"/>
                    <w:rPr>
                      <w:rFonts w:cs="Arial"/>
                      <w:sz w:val="17"/>
                    </w:rPr>
                  </w:pPr>
                  <w:r w:rsidRPr="00B87A10">
                    <w:rPr>
                      <w:rFonts w:cs="Arial"/>
                      <w:sz w:val="17"/>
                    </w:rPr>
                    <w:t>Annual</w:t>
                  </w:r>
                </w:p>
              </w:tc>
              <w:tc>
                <w:tcPr>
                  <w:tcW w:w="443" w:type="pct"/>
                  <w:tcBorders>
                    <w:left w:val="nil"/>
                    <w:bottom w:val="nil"/>
                    <w:right w:val="nil"/>
                  </w:tcBorders>
                </w:tcPr>
                <w:p w14:paraId="3D631C02" w14:textId="77777777" w:rsidR="00466311" w:rsidRPr="00B87A10" w:rsidRDefault="00466311" w:rsidP="001708C1">
                  <w:pPr>
                    <w:pStyle w:val="TableBodyText"/>
                    <w:rPr>
                      <w:rFonts w:cs="Arial"/>
                      <w:sz w:val="17"/>
                    </w:rPr>
                  </w:pPr>
                  <w:r w:rsidRPr="00B87A10">
                    <w:rPr>
                      <w:rFonts w:cs="Arial"/>
                      <w:sz w:val="17"/>
                    </w:rPr>
                    <w:t>5</w:t>
                  </w:r>
                </w:p>
              </w:tc>
              <w:tc>
                <w:tcPr>
                  <w:tcW w:w="443" w:type="pct"/>
                  <w:tcBorders>
                    <w:left w:val="nil"/>
                    <w:bottom w:val="nil"/>
                    <w:right w:val="nil"/>
                  </w:tcBorders>
                </w:tcPr>
                <w:p w14:paraId="1E3660E1" w14:textId="77777777" w:rsidR="00466311" w:rsidRPr="00B87A10" w:rsidRDefault="00466311" w:rsidP="001708C1">
                  <w:pPr>
                    <w:pStyle w:val="TableBodyText"/>
                    <w:rPr>
                      <w:rFonts w:cs="Arial"/>
                      <w:sz w:val="17"/>
                    </w:rPr>
                  </w:pPr>
                  <w:r w:rsidRPr="00B87A10">
                    <w:rPr>
                      <w:rFonts w:cs="Arial"/>
                      <w:sz w:val="17"/>
                    </w:rPr>
                    <w:t>3</w:t>
                  </w:r>
                </w:p>
              </w:tc>
              <w:tc>
                <w:tcPr>
                  <w:tcW w:w="443" w:type="pct"/>
                  <w:tcBorders>
                    <w:left w:val="nil"/>
                    <w:bottom w:val="nil"/>
                    <w:right w:val="nil"/>
                  </w:tcBorders>
                </w:tcPr>
                <w:p w14:paraId="272F5DA6" w14:textId="77777777" w:rsidR="00466311" w:rsidRPr="00B87A10" w:rsidRDefault="00466311" w:rsidP="001708C1">
                  <w:pPr>
                    <w:pStyle w:val="TableBodyText"/>
                    <w:rPr>
                      <w:rFonts w:cs="Arial"/>
                      <w:sz w:val="17"/>
                    </w:rPr>
                  </w:pPr>
                  <w:r w:rsidRPr="00B87A10">
                    <w:rPr>
                      <w:rFonts w:cs="Arial"/>
                      <w:sz w:val="17"/>
                    </w:rPr>
                    <w:t>na</w:t>
                  </w:r>
                </w:p>
              </w:tc>
              <w:tc>
                <w:tcPr>
                  <w:tcW w:w="442" w:type="pct"/>
                  <w:tcBorders>
                    <w:left w:val="nil"/>
                    <w:bottom w:val="nil"/>
                    <w:right w:val="nil"/>
                  </w:tcBorders>
                </w:tcPr>
                <w:p w14:paraId="5F286ED6" w14:textId="77777777" w:rsidR="00466311" w:rsidRPr="00B87A10" w:rsidRDefault="00466311" w:rsidP="001708C1">
                  <w:pPr>
                    <w:pStyle w:val="TableBodyText"/>
                    <w:rPr>
                      <w:rFonts w:cs="Arial"/>
                      <w:sz w:val="17"/>
                    </w:rPr>
                  </w:pPr>
                  <w:r w:rsidRPr="00B87A10">
                    <w:rPr>
                      <w:rFonts w:cs="Arial"/>
                      <w:sz w:val="17"/>
                    </w:rPr>
                    <w:t>5</w:t>
                  </w:r>
                </w:p>
              </w:tc>
            </w:tr>
            <w:tr w:rsidR="00466311" w14:paraId="590C61DE" w14:textId="77777777" w:rsidTr="001708C1">
              <w:trPr>
                <w:tblHeader/>
              </w:trPr>
              <w:tc>
                <w:tcPr>
                  <w:tcW w:w="1419" w:type="pct"/>
                  <w:tcBorders>
                    <w:left w:val="nil"/>
                    <w:right w:val="nil"/>
                  </w:tcBorders>
                </w:tcPr>
                <w:p w14:paraId="4A86BD8E" w14:textId="77777777" w:rsidR="00466311" w:rsidRPr="007F24DC" w:rsidRDefault="00466311" w:rsidP="001708C1">
                  <w:pPr>
                    <w:pStyle w:val="TableBullet"/>
                    <w:rPr>
                      <w:rFonts w:cs="Arial"/>
                      <w:sz w:val="17"/>
                      <w:szCs w:val="18"/>
                    </w:rPr>
                  </w:pPr>
                  <w:r>
                    <w:rPr>
                      <w:rFonts w:cs="Arial"/>
                      <w:sz w:val="17"/>
                      <w:szCs w:val="16"/>
                    </w:rPr>
                    <w:t>Buildings</w:t>
                  </w:r>
                </w:p>
              </w:tc>
              <w:tc>
                <w:tcPr>
                  <w:tcW w:w="457" w:type="pct"/>
                  <w:tcBorders>
                    <w:left w:val="nil"/>
                    <w:right w:val="nil"/>
                  </w:tcBorders>
                </w:tcPr>
                <w:p w14:paraId="2E22CC60" w14:textId="77777777" w:rsidR="00466311" w:rsidRPr="00B87A10" w:rsidRDefault="00466311" w:rsidP="001708C1">
                  <w:pPr>
                    <w:pStyle w:val="TableBodyText"/>
                    <w:rPr>
                      <w:rFonts w:cs="Arial"/>
                      <w:sz w:val="17"/>
                    </w:rPr>
                  </w:pPr>
                  <w:r w:rsidRPr="00B87A10">
                    <w:rPr>
                      <w:rFonts w:cs="Arial"/>
                      <w:sz w:val="17"/>
                    </w:rPr>
                    <w:t>3</w:t>
                  </w:r>
                </w:p>
              </w:tc>
              <w:tc>
                <w:tcPr>
                  <w:tcW w:w="442" w:type="pct"/>
                  <w:tcBorders>
                    <w:top w:val="nil"/>
                    <w:left w:val="nil"/>
                    <w:right w:val="nil"/>
                  </w:tcBorders>
                  <w:shd w:val="clear" w:color="auto" w:fill="auto"/>
                </w:tcPr>
                <w:p w14:paraId="080745E9" w14:textId="77777777" w:rsidR="00466311" w:rsidRPr="00B87A10" w:rsidRDefault="00466311" w:rsidP="001708C1">
                  <w:pPr>
                    <w:pStyle w:val="TableBodyText"/>
                    <w:rPr>
                      <w:rFonts w:cs="Arial"/>
                      <w:sz w:val="17"/>
                    </w:rPr>
                  </w:pPr>
                  <w:r w:rsidRPr="00B87A10">
                    <w:rPr>
                      <w:rFonts w:cs="Arial"/>
                      <w:sz w:val="17"/>
                    </w:rPr>
                    <w:t>5</w:t>
                  </w:r>
                </w:p>
              </w:tc>
              <w:tc>
                <w:tcPr>
                  <w:tcW w:w="442" w:type="pct"/>
                  <w:tcBorders>
                    <w:top w:val="nil"/>
                    <w:left w:val="nil"/>
                    <w:right w:val="nil"/>
                  </w:tcBorders>
                  <w:shd w:val="clear" w:color="auto" w:fill="auto"/>
                </w:tcPr>
                <w:p w14:paraId="1A11B69E" w14:textId="4DCE94B0" w:rsidR="00466311" w:rsidRPr="00B87A10" w:rsidRDefault="00466311" w:rsidP="001708C1">
                  <w:pPr>
                    <w:pStyle w:val="TableBodyText"/>
                    <w:rPr>
                      <w:rFonts w:cs="Arial"/>
                      <w:sz w:val="17"/>
                    </w:rPr>
                  </w:pPr>
                  <w:r w:rsidRPr="00B87A10">
                    <w:rPr>
                      <w:rFonts w:cs="Arial"/>
                      <w:sz w:val="17"/>
                    </w:rPr>
                    <w:t xml:space="preserve">Annual over a </w:t>
                  </w:r>
                  <w:r w:rsidR="0041556E" w:rsidRPr="00B87A10">
                    <w:rPr>
                      <w:rFonts w:cs="Arial"/>
                      <w:sz w:val="17"/>
                    </w:rPr>
                    <w:t>f</w:t>
                  </w:r>
                  <w:r w:rsidR="0041556E">
                    <w:rPr>
                      <w:rFonts w:cs="Arial"/>
                      <w:sz w:val="17"/>
                    </w:rPr>
                    <w:t>our</w:t>
                  </w:r>
                  <w:r w:rsidR="008735A5">
                    <w:rPr>
                      <w:rFonts w:cs="Arial"/>
                      <w:sz w:val="17"/>
                    </w:rPr>
                    <w:noBreakHyphen/>
                  </w:r>
                  <w:r w:rsidR="0041556E" w:rsidRPr="00B87A10">
                    <w:rPr>
                      <w:rFonts w:cs="Arial"/>
                      <w:sz w:val="17"/>
                    </w:rPr>
                    <w:t>year</w:t>
                  </w:r>
                  <w:r w:rsidRPr="00B87A10">
                    <w:rPr>
                      <w:rFonts w:cs="Arial"/>
                      <w:sz w:val="17"/>
                    </w:rPr>
                    <w:t xml:space="preserve"> rolling plan</w:t>
                  </w:r>
                </w:p>
              </w:tc>
              <w:tc>
                <w:tcPr>
                  <w:tcW w:w="469" w:type="pct"/>
                  <w:tcBorders>
                    <w:top w:val="nil"/>
                    <w:left w:val="nil"/>
                    <w:right w:val="nil"/>
                  </w:tcBorders>
                  <w:shd w:val="clear" w:color="auto" w:fill="auto"/>
                </w:tcPr>
                <w:p w14:paraId="34977D01" w14:textId="77777777" w:rsidR="00466311" w:rsidRPr="00B87A10" w:rsidRDefault="00466311" w:rsidP="001708C1">
                  <w:pPr>
                    <w:pStyle w:val="TableBodyText"/>
                    <w:rPr>
                      <w:rFonts w:cs="Arial"/>
                      <w:sz w:val="17"/>
                    </w:rPr>
                  </w:pPr>
                  <w:r w:rsidRPr="00B87A10">
                    <w:rPr>
                      <w:rFonts w:cs="Arial"/>
                      <w:sz w:val="17"/>
                    </w:rPr>
                    <w:t>Annual</w:t>
                  </w:r>
                </w:p>
              </w:tc>
              <w:tc>
                <w:tcPr>
                  <w:tcW w:w="443" w:type="pct"/>
                  <w:tcBorders>
                    <w:top w:val="nil"/>
                    <w:left w:val="nil"/>
                    <w:right w:val="nil"/>
                  </w:tcBorders>
                  <w:shd w:val="clear" w:color="auto" w:fill="auto"/>
                </w:tcPr>
                <w:p w14:paraId="32A34C48" w14:textId="77777777" w:rsidR="00466311" w:rsidRPr="00B87A10" w:rsidRDefault="00466311" w:rsidP="001708C1">
                  <w:pPr>
                    <w:pStyle w:val="TableBodyText"/>
                    <w:rPr>
                      <w:rFonts w:cs="Arial"/>
                      <w:sz w:val="17"/>
                    </w:rPr>
                  </w:pPr>
                  <w:r w:rsidRPr="00B87A10">
                    <w:rPr>
                      <w:rFonts w:cs="Arial"/>
                      <w:sz w:val="17"/>
                    </w:rPr>
                    <w:t>5</w:t>
                  </w:r>
                </w:p>
              </w:tc>
              <w:tc>
                <w:tcPr>
                  <w:tcW w:w="443" w:type="pct"/>
                  <w:tcBorders>
                    <w:top w:val="nil"/>
                    <w:left w:val="nil"/>
                    <w:right w:val="nil"/>
                  </w:tcBorders>
                  <w:shd w:val="clear" w:color="auto" w:fill="auto"/>
                </w:tcPr>
                <w:p w14:paraId="3DB2337C" w14:textId="77777777" w:rsidR="00466311" w:rsidRPr="00B87A10" w:rsidRDefault="00466311" w:rsidP="001708C1">
                  <w:pPr>
                    <w:pStyle w:val="TableBodyText"/>
                    <w:rPr>
                      <w:rFonts w:cs="Arial"/>
                      <w:sz w:val="17"/>
                    </w:rPr>
                  </w:pPr>
                  <w:r w:rsidRPr="00B87A10">
                    <w:rPr>
                      <w:rFonts w:cs="Arial"/>
                      <w:sz w:val="17"/>
                    </w:rPr>
                    <w:t>3</w:t>
                  </w:r>
                </w:p>
              </w:tc>
              <w:tc>
                <w:tcPr>
                  <w:tcW w:w="443" w:type="pct"/>
                  <w:tcBorders>
                    <w:top w:val="nil"/>
                    <w:left w:val="nil"/>
                    <w:right w:val="nil"/>
                  </w:tcBorders>
                  <w:shd w:val="clear" w:color="auto" w:fill="auto"/>
                </w:tcPr>
                <w:p w14:paraId="786DE0E7" w14:textId="77777777" w:rsidR="00466311" w:rsidRPr="00B87A10" w:rsidRDefault="00466311" w:rsidP="001708C1">
                  <w:pPr>
                    <w:pStyle w:val="TableBodyText"/>
                    <w:rPr>
                      <w:rFonts w:cs="Arial"/>
                      <w:sz w:val="17"/>
                    </w:rPr>
                  </w:pPr>
                  <w:r w:rsidRPr="00B87A10">
                    <w:rPr>
                      <w:rFonts w:cs="Arial"/>
                      <w:sz w:val="17"/>
                    </w:rPr>
                    <w:t>na</w:t>
                  </w:r>
                </w:p>
              </w:tc>
              <w:tc>
                <w:tcPr>
                  <w:tcW w:w="442" w:type="pct"/>
                  <w:tcBorders>
                    <w:top w:val="nil"/>
                    <w:left w:val="nil"/>
                    <w:right w:val="nil"/>
                  </w:tcBorders>
                  <w:shd w:val="clear" w:color="auto" w:fill="auto"/>
                </w:tcPr>
                <w:p w14:paraId="2A59FB59" w14:textId="77777777" w:rsidR="00466311" w:rsidRPr="00B87A10" w:rsidRDefault="00466311" w:rsidP="001708C1">
                  <w:pPr>
                    <w:pStyle w:val="TableBodyText"/>
                    <w:rPr>
                      <w:rFonts w:cs="Arial"/>
                      <w:sz w:val="17"/>
                    </w:rPr>
                  </w:pPr>
                  <w:r w:rsidRPr="00B87A10">
                    <w:rPr>
                      <w:rFonts w:cs="Arial"/>
                      <w:sz w:val="17"/>
                    </w:rPr>
                    <w:t>5</w:t>
                  </w:r>
                </w:p>
              </w:tc>
            </w:tr>
            <w:tr w:rsidR="00466311" w14:paraId="1DB1EC4F" w14:textId="77777777" w:rsidTr="001708C1">
              <w:trPr>
                <w:tblHeader/>
              </w:trPr>
              <w:tc>
                <w:tcPr>
                  <w:tcW w:w="1419" w:type="pct"/>
                  <w:tcBorders>
                    <w:left w:val="nil"/>
                    <w:right w:val="nil"/>
                  </w:tcBorders>
                </w:tcPr>
                <w:p w14:paraId="4B136800" w14:textId="77777777" w:rsidR="00466311" w:rsidRPr="007F24DC" w:rsidRDefault="00466311" w:rsidP="001708C1">
                  <w:pPr>
                    <w:pStyle w:val="TableBullet"/>
                    <w:rPr>
                      <w:rFonts w:cs="Arial"/>
                      <w:sz w:val="17"/>
                      <w:szCs w:val="18"/>
                    </w:rPr>
                  </w:pPr>
                  <w:r w:rsidRPr="007F24DC">
                    <w:rPr>
                      <w:rFonts w:cs="Arial"/>
                      <w:sz w:val="17"/>
                      <w:szCs w:val="16"/>
                    </w:rPr>
                    <w:t>Other assets</w:t>
                  </w:r>
                </w:p>
              </w:tc>
              <w:tc>
                <w:tcPr>
                  <w:tcW w:w="457" w:type="pct"/>
                  <w:tcBorders>
                    <w:left w:val="nil"/>
                    <w:right w:val="nil"/>
                  </w:tcBorders>
                </w:tcPr>
                <w:p w14:paraId="4289A67C" w14:textId="77777777" w:rsidR="00466311" w:rsidRPr="00B87A10" w:rsidRDefault="00466311" w:rsidP="001708C1">
                  <w:pPr>
                    <w:pStyle w:val="TableBodyText"/>
                    <w:rPr>
                      <w:rFonts w:cs="Arial"/>
                      <w:sz w:val="17"/>
                    </w:rPr>
                  </w:pPr>
                  <w:r w:rsidRPr="00B87A10">
                    <w:rPr>
                      <w:rFonts w:cs="Arial"/>
                      <w:sz w:val="17"/>
                    </w:rPr>
                    <w:t>Annual capitalisation of group</w:t>
                  </w:r>
                </w:p>
              </w:tc>
              <w:tc>
                <w:tcPr>
                  <w:tcW w:w="442" w:type="pct"/>
                  <w:tcBorders>
                    <w:top w:val="nil"/>
                    <w:left w:val="nil"/>
                    <w:right w:val="nil"/>
                  </w:tcBorders>
                  <w:shd w:val="clear" w:color="auto" w:fill="auto"/>
                </w:tcPr>
                <w:p w14:paraId="35C4BEC3" w14:textId="77777777" w:rsidR="00466311" w:rsidRPr="00B87A10" w:rsidRDefault="00466311" w:rsidP="001708C1">
                  <w:pPr>
                    <w:pStyle w:val="TableBodyText"/>
                    <w:rPr>
                      <w:rFonts w:cs="Arial"/>
                      <w:sz w:val="17"/>
                    </w:rPr>
                  </w:pPr>
                  <w:r w:rsidRPr="00B87A10">
                    <w:rPr>
                      <w:rFonts w:cs="Arial"/>
                      <w:sz w:val="17"/>
                    </w:rPr>
                    <w:t>5</w:t>
                  </w:r>
                </w:p>
              </w:tc>
              <w:tc>
                <w:tcPr>
                  <w:tcW w:w="442" w:type="pct"/>
                  <w:tcBorders>
                    <w:top w:val="nil"/>
                    <w:left w:val="nil"/>
                    <w:right w:val="nil"/>
                  </w:tcBorders>
                  <w:shd w:val="clear" w:color="auto" w:fill="auto"/>
                </w:tcPr>
                <w:p w14:paraId="57D6FEE7" w14:textId="77777777" w:rsidR="00466311" w:rsidRPr="00B87A10" w:rsidRDefault="00466311" w:rsidP="001708C1">
                  <w:pPr>
                    <w:pStyle w:val="TableBodyText"/>
                    <w:rPr>
                      <w:rFonts w:cs="Arial"/>
                      <w:sz w:val="17"/>
                    </w:rPr>
                  </w:pPr>
                  <w:r w:rsidRPr="00B87A10">
                    <w:rPr>
                      <w:rFonts w:cs="Arial"/>
                      <w:sz w:val="17"/>
                    </w:rPr>
                    <w:t>None except aircraft, revalued annually</w:t>
                  </w:r>
                </w:p>
              </w:tc>
              <w:tc>
                <w:tcPr>
                  <w:tcW w:w="469" w:type="pct"/>
                  <w:tcBorders>
                    <w:top w:val="nil"/>
                    <w:left w:val="nil"/>
                    <w:right w:val="nil"/>
                  </w:tcBorders>
                  <w:shd w:val="clear" w:color="auto" w:fill="auto"/>
                </w:tcPr>
                <w:p w14:paraId="6DFDC95E" w14:textId="77777777" w:rsidR="00466311" w:rsidRPr="00B87A10" w:rsidRDefault="00466311" w:rsidP="001708C1">
                  <w:pPr>
                    <w:pStyle w:val="TableBodyText"/>
                    <w:rPr>
                      <w:rFonts w:cs="Arial"/>
                      <w:sz w:val="17"/>
                    </w:rPr>
                  </w:pPr>
                  <w:r w:rsidRPr="00B87A10">
                    <w:rPr>
                      <w:rFonts w:cs="Arial"/>
                      <w:sz w:val="17"/>
                    </w:rPr>
                    <w:t>na</w:t>
                  </w:r>
                </w:p>
              </w:tc>
              <w:tc>
                <w:tcPr>
                  <w:tcW w:w="443" w:type="pct"/>
                  <w:tcBorders>
                    <w:top w:val="nil"/>
                    <w:left w:val="nil"/>
                    <w:right w:val="nil"/>
                  </w:tcBorders>
                  <w:shd w:val="clear" w:color="auto" w:fill="auto"/>
                </w:tcPr>
                <w:p w14:paraId="3C23191A" w14:textId="77777777" w:rsidR="00466311" w:rsidRPr="00B87A10" w:rsidRDefault="00466311" w:rsidP="001708C1">
                  <w:pPr>
                    <w:pStyle w:val="TableBodyText"/>
                    <w:rPr>
                      <w:rFonts w:cs="Arial"/>
                      <w:sz w:val="17"/>
                    </w:rPr>
                  </w:pPr>
                  <w:r w:rsidRPr="00B87A10">
                    <w:rPr>
                      <w:rFonts w:cs="Arial"/>
                      <w:sz w:val="17"/>
                    </w:rPr>
                    <w:t>na</w:t>
                  </w:r>
                </w:p>
              </w:tc>
              <w:tc>
                <w:tcPr>
                  <w:tcW w:w="443" w:type="pct"/>
                  <w:tcBorders>
                    <w:top w:val="nil"/>
                    <w:left w:val="nil"/>
                    <w:right w:val="nil"/>
                  </w:tcBorders>
                  <w:shd w:val="clear" w:color="auto" w:fill="auto"/>
                </w:tcPr>
                <w:p w14:paraId="2986E153" w14:textId="77777777" w:rsidR="00466311" w:rsidRPr="00B87A10" w:rsidRDefault="00466311" w:rsidP="001708C1">
                  <w:pPr>
                    <w:pStyle w:val="TableBodyText"/>
                    <w:rPr>
                      <w:rFonts w:cs="Arial"/>
                      <w:sz w:val="17"/>
                    </w:rPr>
                  </w:pPr>
                  <w:r w:rsidRPr="00B87A10">
                    <w:rPr>
                      <w:rFonts w:cs="Arial"/>
                      <w:sz w:val="17"/>
                    </w:rPr>
                    <w:t>na</w:t>
                  </w:r>
                </w:p>
              </w:tc>
              <w:tc>
                <w:tcPr>
                  <w:tcW w:w="443" w:type="pct"/>
                  <w:tcBorders>
                    <w:top w:val="nil"/>
                    <w:left w:val="nil"/>
                    <w:right w:val="nil"/>
                  </w:tcBorders>
                  <w:shd w:val="clear" w:color="auto" w:fill="auto"/>
                </w:tcPr>
                <w:p w14:paraId="367EEFB1" w14:textId="77777777" w:rsidR="00466311" w:rsidRPr="00B87A10" w:rsidRDefault="00466311" w:rsidP="001708C1">
                  <w:pPr>
                    <w:pStyle w:val="TableBodyText"/>
                    <w:rPr>
                      <w:rFonts w:cs="Arial"/>
                      <w:sz w:val="17"/>
                    </w:rPr>
                  </w:pPr>
                  <w:r w:rsidRPr="00B87A10">
                    <w:rPr>
                      <w:rFonts w:cs="Arial"/>
                      <w:sz w:val="17"/>
                    </w:rPr>
                    <w:t>3</w:t>
                  </w:r>
                </w:p>
              </w:tc>
              <w:tc>
                <w:tcPr>
                  <w:tcW w:w="442" w:type="pct"/>
                  <w:tcBorders>
                    <w:top w:val="nil"/>
                    <w:left w:val="nil"/>
                    <w:right w:val="nil"/>
                  </w:tcBorders>
                  <w:shd w:val="clear" w:color="auto" w:fill="auto"/>
                </w:tcPr>
                <w:p w14:paraId="3EBE182B" w14:textId="77777777" w:rsidR="00466311" w:rsidRPr="00B87A10" w:rsidRDefault="00466311" w:rsidP="001708C1">
                  <w:pPr>
                    <w:pStyle w:val="TableBodyText"/>
                    <w:rPr>
                      <w:rFonts w:cs="Arial"/>
                      <w:sz w:val="17"/>
                    </w:rPr>
                  </w:pPr>
                  <w:r w:rsidRPr="00B87A10">
                    <w:rPr>
                      <w:rFonts w:cs="Arial"/>
                      <w:sz w:val="17"/>
                    </w:rPr>
                    <w:t>5</w:t>
                  </w:r>
                </w:p>
              </w:tc>
            </w:tr>
            <w:tr w:rsidR="00466311" w14:paraId="597645C5" w14:textId="77777777" w:rsidTr="001708C1">
              <w:trPr>
                <w:tblHeader/>
              </w:trPr>
              <w:tc>
                <w:tcPr>
                  <w:tcW w:w="1419" w:type="pct"/>
                  <w:tcBorders>
                    <w:top w:val="nil"/>
                    <w:left w:val="nil"/>
                    <w:bottom w:val="nil"/>
                    <w:right w:val="nil"/>
                  </w:tcBorders>
                  <w:shd w:val="clear" w:color="auto" w:fill="auto"/>
                </w:tcPr>
                <w:p w14:paraId="4DC35F80" w14:textId="77777777" w:rsidR="00466311" w:rsidRPr="007F24DC" w:rsidRDefault="00466311" w:rsidP="001708C1">
                  <w:pPr>
                    <w:pStyle w:val="TableBullet"/>
                    <w:numPr>
                      <w:ilvl w:val="0"/>
                      <w:numId w:val="0"/>
                    </w:numPr>
                    <w:ind w:left="170" w:hanging="170"/>
                    <w:rPr>
                      <w:rFonts w:cs="Arial"/>
                      <w:sz w:val="17"/>
                      <w:szCs w:val="18"/>
                    </w:rPr>
                  </w:pPr>
                  <w:r w:rsidRPr="007F24DC">
                    <w:rPr>
                      <w:rFonts w:cs="Arial"/>
                      <w:b/>
                      <w:sz w:val="17"/>
                      <w:szCs w:val="18"/>
                    </w:rPr>
                    <w:t>Useful asset lives (years)</w:t>
                  </w:r>
                  <w:r>
                    <w:rPr>
                      <w:rStyle w:val="NoteLabel"/>
                      <w:rFonts w:cs="Arial"/>
                      <w:sz w:val="17"/>
                    </w:rPr>
                    <w:t>b, c</w:t>
                  </w:r>
                </w:p>
              </w:tc>
              <w:tc>
                <w:tcPr>
                  <w:tcW w:w="457" w:type="pct"/>
                  <w:tcBorders>
                    <w:top w:val="nil"/>
                    <w:left w:val="nil"/>
                    <w:bottom w:val="nil"/>
                    <w:right w:val="nil"/>
                  </w:tcBorders>
                  <w:shd w:val="clear" w:color="auto" w:fill="auto"/>
                </w:tcPr>
                <w:p w14:paraId="5B33924E"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6480AE40"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37A9A704" w14:textId="77777777" w:rsidR="00466311" w:rsidRPr="00B87A10" w:rsidRDefault="00466311" w:rsidP="001708C1">
                  <w:pPr>
                    <w:pStyle w:val="TableBodyText"/>
                    <w:rPr>
                      <w:rFonts w:cs="Arial"/>
                      <w:sz w:val="17"/>
                    </w:rPr>
                  </w:pPr>
                </w:p>
              </w:tc>
              <w:tc>
                <w:tcPr>
                  <w:tcW w:w="469" w:type="pct"/>
                  <w:tcBorders>
                    <w:top w:val="nil"/>
                    <w:left w:val="nil"/>
                    <w:bottom w:val="nil"/>
                    <w:right w:val="nil"/>
                  </w:tcBorders>
                  <w:shd w:val="clear" w:color="auto" w:fill="auto"/>
                </w:tcPr>
                <w:p w14:paraId="02790F29"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79474F0A"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3FB026D9"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63CF391B"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1FCEBEB1" w14:textId="77777777" w:rsidR="00466311" w:rsidRPr="00B87A10" w:rsidRDefault="00466311" w:rsidP="001708C1">
                  <w:pPr>
                    <w:pStyle w:val="TableBodyText"/>
                    <w:rPr>
                      <w:rFonts w:cs="Arial"/>
                      <w:sz w:val="17"/>
                    </w:rPr>
                  </w:pPr>
                </w:p>
              </w:tc>
            </w:tr>
            <w:tr w:rsidR="00466311" w14:paraId="2BE128F3" w14:textId="77777777" w:rsidTr="001708C1">
              <w:trPr>
                <w:tblHeader/>
              </w:trPr>
              <w:tc>
                <w:tcPr>
                  <w:tcW w:w="1419" w:type="pct"/>
                  <w:tcBorders>
                    <w:left w:val="nil"/>
                    <w:bottom w:val="nil"/>
                    <w:right w:val="nil"/>
                  </w:tcBorders>
                </w:tcPr>
                <w:p w14:paraId="295F7C9F" w14:textId="77777777" w:rsidR="00466311" w:rsidRPr="007F24DC" w:rsidRDefault="00466311" w:rsidP="001708C1">
                  <w:pPr>
                    <w:pStyle w:val="TableBullet"/>
                    <w:rPr>
                      <w:rFonts w:cs="Arial"/>
                      <w:sz w:val="17"/>
                      <w:szCs w:val="18"/>
                    </w:rPr>
                  </w:pPr>
                  <w:r w:rsidRPr="007F24DC">
                    <w:rPr>
                      <w:rFonts w:cs="Arial"/>
                      <w:sz w:val="17"/>
                    </w:rPr>
                    <w:t>Buildings</w:t>
                  </w:r>
                </w:p>
              </w:tc>
              <w:tc>
                <w:tcPr>
                  <w:tcW w:w="457" w:type="pct"/>
                  <w:tcBorders>
                    <w:left w:val="nil"/>
                    <w:bottom w:val="nil"/>
                    <w:right w:val="nil"/>
                  </w:tcBorders>
                </w:tcPr>
                <w:p w14:paraId="4F3CA25F" w14:textId="77777777" w:rsidR="00466311" w:rsidRPr="00B87A10" w:rsidRDefault="00466311" w:rsidP="001708C1">
                  <w:pPr>
                    <w:pStyle w:val="TableBodyText"/>
                    <w:rPr>
                      <w:rFonts w:cs="Arial"/>
                      <w:sz w:val="17"/>
                    </w:rPr>
                  </w:pPr>
                  <w:r w:rsidRPr="00B87A10">
                    <w:rPr>
                      <w:rFonts w:cs="Arial"/>
                      <w:sz w:val="17"/>
                    </w:rPr>
                    <w:t>Useful life/Lease term, determined individually</w:t>
                  </w:r>
                </w:p>
              </w:tc>
              <w:tc>
                <w:tcPr>
                  <w:tcW w:w="442" w:type="pct"/>
                  <w:tcBorders>
                    <w:left w:val="nil"/>
                    <w:bottom w:val="nil"/>
                    <w:right w:val="nil"/>
                  </w:tcBorders>
                </w:tcPr>
                <w:p w14:paraId="642E02B5" w14:textId="51454DBD" w:rsidR="00466311" w:rsidRPr="00B87A10" w:rsidRDefault="00466311" w:rsidP="001708C1">
                  <w:pPr>
                    <w:pStyle w:val="TableBodyText"/>
                    <w:rPr>
                      <w:rFonts w:cs="Arial"/>
                      <w:sz w:val="17"/>
                    </w:rPr>
                  </w:pPr>
                  <w:r w:rsidRPr="00B87A10">
                    <w:rPr>
                      <w:rFonts w:cs="Arial"/>
                      <w:sz w:val="17"/>
                    </w:rPr>
                    <w:t>1</w:t>
                  </w:r>
                  <w:r w:rsidR="008735A5">
                    <w:rPr>
                      <w:rFonts w:cs="Arial"/>
                      <w:sz w:val="17"/>
                    </w:rPr>
                    <w:noBreakHyphen/>
                  </w:r>
                  <w:r w:rsidRPr="00B87A10">
                    <w:rPr>
                      <w:rFonts w:cs="Arial"/>
                      <w:sz w:val="17"/>
                    </w:rPr>
                    <w:t>50</w:t>
                  </w:r>
                </w:p>
              </w:tc>
              <w:tc>
                <w:tcPr>
                  <w:tcW w:w="442" w:type="pct"/>
                  <w:tcBorders>
                    <w:left w:val="nil"/>
                    <w:bottom w:val="nil"/>
                    <w:right w:val="nil"/>
                  </w:tcBorders>
                </w:tcPr>
                <w:p w14:paraId="542ABEAE" w14:textId="0582C746" w:rsidR="00466311" w:rsidRPr="00B87A10" w:rsidRDefault="00466311" w:rsidP="001708C1">
                  <w:pPr>
                    <w:pStyle w:val="TableBodyText"/>
                    <w:rPr>
                      <w:rFonts w:cs="Arial"/>
                      <w:sz w:val="17"/>
                    </w:rPr>
                  </w:pPr>
                  <w:r w:rsidRPr="00B87A10">
                    <w:rPr>
                      <w:rFonts w:cs="Arial"/>
                      <w:sz w:val="17"/>
                    </w:rPr>
                    <w:t>1</w:t>
                  </w:r>
                  <w:r w:rsidR="007D4CB9">
                    <w:rPr>
                      <w:rFonts w:cs="Arial"/>
                      <w:sz w:val="17"/>
                    </w:rPr>
                    <w:t>0</w:t>
                  </w:r>
                  <w:r w:rsidR="008735A5">
                    <w:rPr>
                      <w:rFonts w:cs="Arial"/>
                      <w:sz w:val="17"/>
                    </w:rPr>
                    <w:noBreakHyphen/>
                  </w:r>
                  <w:r w:rsidR="007D4CB9">
                    <w:rPr>
                      <w:rFonts w:cs="Arial"/>
                      <w:sz w:val="17"/>
                    </w:rPr>
                    <w:t>169</w:t>
                  </w:r>
                </w:p>
              </w:tc>
              <w:tc>
                <w:tcPr>
                  <w:tcW w:w="469" w:type="pct"/>
                  <w:tcBorders>
                    <w:left w:val="nil"/>
                    <w:bottom w:val="nil"/>
                    <w:right w:val="nil"/>
                  </w:tcBorders>
                </w:tcPr>
                <w:p w14:paraId="06E20CC1" w14:textId="77777777" w:rsidR="00466311" w:rsidRPr="00B87A10" w:rsidRDefault="00466311" w:rsidP="001708C1">
                  <w:pPr>
                    <w:pStyle w:val="TableBodyText"/>
                    <w:rPr>
                      <w:rFonts w:cs="Arial"/>
                      <w:sz w:val="17"/>
                    </w:rPr>
                  </w:pPr>
                  <w:r w:rsidRPr="00B87A10">
                    <w:rPr>
                      <w:rFonts w:cs="Arial"/>
                      <w:sz w:val="17"/>
                    </w:rPr>
                    <w:t>50 (except for transportables, depreciated over 20)</w:t>
                  </w:r>
                </w:p>
              </w:tc>
              <w:tc>
                <w:tcPr>
                  <w:tcW w:w="443" w:type="pct"/>
                  <w:tcBorders>
                    <w:left w:val="nil"/>
                    <w:bottom w:val="nil"/>
                    <w:right w:val="nil"/>
                  </w:tcBorders>
                </w:tcPr>
                <w:p w14:paraId="290FFF0A" w14:textId="3E6378CC" w:rsidR="00466311" w:rsidRPr="00B87A10" w:rsidRDefault="00466311" w:rsidP="001708C1">
                  <w:pPr>
                    <w:pStyle w:val="TableBodyText"/>
                    <w:rPr>
                      <w:rFonts w:cs="Arial"/>
                      <w:sz w:val="17"/>
                    </w:rPr>
                  </w:pPr>
                  <w:r w:rsidRPr="00B87A10">
                    <w:rPr>
                      <w:rFonts w:cs="Arial"/>
                      <w:sz w:val="17"/>
                    </w:rPr>
                    <w:t>Lease term (20</w:t>
                  </w:r>
                  <w:r w:rsidR="008735A5">
                    <w:rPr>
                      <w:rFonts w:cs="Arial"/>
                      <w:sz w:val="17"/>
                    </w:rPr>
                    <w:noBreakHyphen/>
                  </w:r>
                  <w:r w:rsidRPr="00B87A10">
                    <w:rPr>
                      <w:rFonts w:cs="Arial"/>
                      <w:sz w:val="17"/>
                    </w:rPr>
                    <w:t>60)</w:t>
                  </w:r>
                </w:p>
              </w:tc>
              <w:tc>
                <w:tcPr>
                  <w:tcW w:w="443" w:type="pct"/>
                  <w:tcBorders>
                    <w:left w:val="nil"/>
                    <w:bottom w:val="nil"/>
                    <w:right w:val="nil"/>
                  </w:tcBorders>
                </w:tcPr>
                <w:p w14:paraId="65B7DB94" w14:textId="5EE95A31" w:rsidR="00466311" w:rsidRPr="00B87A10" w:rsidRDefault="00466311" w:rsidP="001708C1">
                  <w:pPr>
                    <w:pStyle w:val="TableBodyText"/>
                    <w:rPr>
                      <w:rFonts w:cs="Arial"/>
                      <w:sz w:val="17"/>
                    </w:rPr>
                  </w:pPr>
                  <w:r w:rsidRPr="00B87A10">
                    <w:rPr>
                      <w:rFonts w:cs="Arial"/>
                      <w:sz w:val="17"/>
                    </w:rPr>
                    <w:t>5</w:t>
                  </w:r>
                  <w:r w:rsidR="008735A5">
                    <w:rPr>
                      <w:rFonts w:cs="Arial"/>
                      <w:sz w:val="17"/>
                    </w:rPr>
                    <w:noBreakHyphen/>
                  </w:r>
                  <w:r w:rsidRPr="00B87A10">
                    <w:rPr>
                      <w:rFonts w:cs="Arial"/>
                      <w:sz w:val="17"/>
                    </w:rPr>
                    <w:t>90</w:t>
                  </w:r>
                </w:p>
              </w:tc>
              <w:tc>
                <w:tcPr>
                  <w:tcW w:w="443" w:type="pct"/>
                  <w:tcBorders>
                    <w:left w:val="nil"/>
                    <w:bottom w:val="nil"/>
                    <w:right w:val="nil"/>
                  </w:tcBorders>
                </w:tcPr>
                <w:p w14:paraId="596F9867" w14:textId="63709BFD" w:rsidR="00466311" w:rsidRPr="00B87A10" w:rsidRDefault="00466311" w:rsidP="001708C1">
                  <w:pPr>
                    <w:pStyle w:val="TableBodyText"/>
                    <w:rPr>
                      <w:rFonts w:cs="Arial"/>
                      <w:sz w:val="17"/>
                    </w:rPr>
                  </w:pPr>
                  <w:r w:rsidRPr="00B87A10">
                    <w:rPr>
                      <w:rFonts w:cs="Arial"/>
                      <w:sz w:val="17"/>
                    </w:rPr>
                    <w:t>25</w:t>
                  </w:r>
                  <w:r w:rsidR="008735A5">
                    <w:rPr>
                      <w:rFonts w:cs="Arial"/>
                      <w:sz w:val="17"/>
                    </w:rPr>
                    <w:noBreakHyphen/>
                  </w:r>
                  <w:r w:rsidRPr="00B87A10">
                    <w:rPr>
                      <w:rFonts w:cs="Arial"/>
                      <w:sz w:val="17"/>
                    </w:rPr>
                    <w:t>59</w:t>
                  </w:r>
                </w:p>
              </w:tc>
              <w:tc>
                <w:tcPr>
                  <w:tcW w:w="442" w:type="pct"/>
                  <w:tcBorders>
                    <w:left w:val="nil"/>
                    <w:bottom w:val="nil"/>
                    <w:right w:val="nil"/>
                  </w:tcBorders>
                </w:tcPr>
                <w:p w14:paraId="293686E1" w14:textId="64D76E35" w:rsidR="00466311" w:rsidRPr="00B87A10" w:rsidRDefault="00466311" w:rsidP="001708C1">
                  <w:pPr>
                    <w:pStyle w:val="TableBodyText"/>
                    <w:rPr>
                      <w:rFonts w:cs="Arial"/>
                      <w:sz w:val="17"/>
                    </w:rPr>
                  </w:pPr>
                  <w:r w:rsidRPr="00B87A10">
                    <w:rPr>
                      <w:rFonts w:cs="Arial"/>
                      <w:sz w:val="17"/>
                    </w:rPr>
                    <w:t>20</w:t>
                  </w:r>
                  <w:r w:rsidR="008735A5">
                    <w:rPr>
                      <w:rFonts w:cs="Arial"/>
                      <w:sz w:val="17"/>
                    </w:rPr>
                    <w:noBreakHyphen/>
                  </w:r>
                  <w:r w:rsidRPr="00B87A10">
                    <w:rPr>
                      <w:rFonts w:cs="Arial"/>
                      <w:sz w:val="17"/>
                    </w:rPr>
                    <w:t>50</w:t>
                  </w:r>
                </w:p>
              </w:tc>
            </w:tr>
          </w:tbl>
          <w:p w14:paraId="77ECC97E" w14:textId="77777777" w:rsidR="00466311" w:rsidRDefault="00466311" w:rsidP="001708C1">
            <w:pPr>
              <w:pStyle w:val="Box"/>
            </w:pPr>
          </w:p>
        </w:tc>
      </w:tr>
      <w:tr w:rsidR="00466311" w14:paraId="5E9290F5" w14:textId="77777777" w:rsidTr="00466311">
        <w:tc>
          <w:tcPr>
            <w:tcW w:w="13444" w:type="dxa"/>
            <w:tcBorders>
              <w:top w:val="nil"/>
              <w:left w:val="nil"/>
              <w:bottom w:val="nil"/>
              <w:right w:val="nil"/>
            </w:tcBorders>
            <w:shd w:val="clear" w:color="auto" w:fill="auto"/>
          </w:tcPr>
          <w:p w14:paraId="1E347C55" w14:textId="726C1542" w:rsidR="00466311" w:rsidRPr="008D1FEE" w:rsidRDefault="00466311" w:rsidP="008E2203">
            <w:pPr>
              <w:pStyle w:val="Continued"/>
            </w:pPr>
            <w:r>
              <w:t>(continued</w:t>
            </w:r>
            <w:r w:rsidR="008E2203">
              <w:t xml:space="preserve"> next page</w:t>
            </w:r>
            <w:r>
              <w:t>)</w:t>
            </w:r>
          </w:p>
        </w:tc>
      </w:tr>
      <w:tr w:rsidR="00466311" w14:paraId="41301F41" w14:textId="77777777" w:rsidTr="00466311">
        <w:tc>
          <w:tcPr>
            <w:tcW w:w="13444" w:type="dxa"/>
            <w:tcBorders>
              <w:top w:val="nil"/>
              <w:left w:val="nil"/>
              <w:bottom w:val="single" w:sz="6" w:space="0" w:color="78A22F"/>
              <w:right w:val="nil"/>
            </w:tcBorders>
            <w:shd w:val="clear" w:color="auto" w:fill="auto"/>
          </w:tcPr>
          <w:p w14:paraId="37CFFD2B" w14:textId="77777777" w:rsidR="00466311" w:rsidRDefault="00466311" w:rsidP="001708C1">
            <w:pPr>
              <w:pStyle w:val="Box"/>
              <w:spacing w:before="0" w:line="120" w:lineRule="exact"/>
            </w:pPr>
          </w:p>
        </w:tc>
      </w:tr>
      <w:tr w:rsidR="00466311" w:rsidRPr="000863A5" w14:paraId="259BCC77" w14:textId="77777777" w:rsidTr="00466311">
        <w:tc>
          <w:tcPr>
            <w:tcW w:w="13444" w:type="dxa"/>
            <w:tcBorders>
              <w:top w:val="single" w:sz="6" w:space="0" w:color="78A22F"/>
              <w:left w:val="nil"/>
              <w:bottom w:val="nil"/>
              <w:right w:val="nil"/>
            </w:tcBorders>
          </w:tcPr>
          <w:p w14:paraId="6E2BE923" w14:textId="77777777" w:rsidR="00466311" w:rsidRPr="00626D32" w:rsidRDefault="00E5786F" w:rsidP="00E5786F">
            <w:pPr>
              <w:pStyle w:val="BoxSpaceBelow"/>
              <w:tabs>
                <w:tab w:val="left" w:pos="9016"/>
              </w:tabs>
            </w:pPr>
            <w:r>
              <w:rPr>
                <w:rFonts w:ascii="Times New Roman" w:hAnsi="Times New Roman"/>
                <w:b/>
                <w:color w:val="FF00FF"/>
              </w:rPr>
              <w:tab/>
            </w:r>
          </w:p>
        </w:tc>
      </w:tr>
    </w:tbl>
    <w:p w14:paraId="550CF1B6" w14:textId="64E3D151" w:rsidR="00466311" w:rsidRDefault="00485DDE" w:rsidP="00485DDE">
      <w:pPr>
        <w:pStyle w:val="BoxSpaceAbove"/>
        <w:tabs>
          <w:tab w:val="left" w:pos="8576"/>
        </w:tabs>
      </w:pPr>
      <w:r>
        <w:tab/>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44"/>
      </w:tblGrid>
      <w:tr w:rsidR="00466311" w14:paraId="1033132A" w14:textId="77777777" w:rsidTr="001708C1">
        <w:tc>
          <w:tcPr>
            <w:tcW w:w="13445" w:type="dxa"/>
            <w:tcBorders>
              <w:top w:val="single" w:sz="6" w:space="0" w:color="78A22F"/>
              <w:left w:val="nil"/>
              <w:bottom w:val="nil"/>
              <w:right w:val="nil"/>
            </w:tcBorders>
            <w:shd w:val="clear" w:color="auto" w:fill="auto"/>
          </w:tcPr>
          <w:p w14:paraId="6CA1A490" w14:textId="55B66963" w:rsidR="00466311" w:rsidRPr="00EB631B" w:rsidRDefault="002B1967" w:rsidP="001708C1">
            <w:pPr>
              <w:pStyle w:val="TableTitle"/>
              <w:rPr>
                <w:b w:val="0"/>
              </w:rPr>
            </w:pPr>
            <w:r>
              <w:rPr>
                <w:b w:val="0"/>
              </w:rPr>
              <w:t>Table 6</w:t>
            </w:r>
            <w:r w:rsidR="00466311">
              <w:rPr>
                <w:b w:val="0"/>
              </w:rPr>
              <w:t>.1</w:t>
            </w:r>
            <w:r w:rsidR="00466311">
              <w:tab/>
              <w:t>Treatment of assets by police agencies, 20</w:t>
            </w:r>
            <w:r w:rsidR="009824EA">
              <w:t>20</w:t>
            </w:r>
            <w:r w:rsidR="008735A5">
              <w:noBreakHyphen/>
            </w:r>
            <w:r w:rsidR="00510790">
              <w:t>2</w:t>
            </w:r>
            <w:r w:rsidR="009824EA">
              <w:t>1</w:t>
            </w:r>
            <w:r w:rsidR="00466311" w:rsidRPr="00562BE9">
              <w:rPr>
                <w:b w:val="0"/>
              </w:rPr>
              <w:t xml:space="preserve"> </w:t>
            </w:r>
            <w:r w:rsidR="00466311" w:rsidRPr="004D2D4B">
              <w:rPr>
                <w:b w:val="0"/>
                <w:sz w:val="18"/>
                <w:szCs w:val="18"/>
              </w:rPr>
              <w:t>(continued)</w:t>
            </w:r>
          </w:p>
        </w:tc>
      </w:tr>
      <w:tr w:rsidR="00466311" w14:paraId="0B237E94" w14:textId="77777777" w:rsidTr="001708C1">
        <w:tc>
          <w:tcPr>
            <w:tcW w:w="13445" w:type="dxa"/>
            <w:tcBorders>
              <w:top w:val="nil"/>
              <w:left w:val="nil"/>
              <w:bottom w:val="nil"/>
              <w:right w:val="nil"/>
            </w:tcBorders>
            <w:shd w:val="clear" w:color="auto" w:fill="auto"/>
          </w:tcPr>
          <w:tbl>
            <w:tblPr>
              <w:tblW w:w="13253" w:type="dxa"/>
              <w:tblCellMar>
                <w:top w:w="28" w:type="dxa"/>
                <w:left w:w="0" w:type="dxa"/>
                <w:right w:w="0" w:type="dxa"/>
              </w:tblCellMar>
              <w:tblLook w:val="04A0" w:firstRow="1" w:lastRow="0" w:firstColumn="1" w:lastColumn="0" w:noHBand="0" w:noVBand="1"/>
            </w:tblPr>
            <w:tblGrid>
              <w:gridCol w:w="3773"/>
              <w:gridCol w:w="1185"/>
              <w:gridCol w:w="1185"/>
              <w:gridCol w:w="1185"/>
              <w:gridCol w:w="1185"/>
              <w:gridCol w:w="1185"/>
              <w:gridCol w:w="1185"/>
              <w:gridCol w:w="1185"/>
              <w:gridCol w:w="1185"/>
            </w:tblGrid>
            <w:tr w:rsidR="00466311" w14:paraId="259A5796" w14:textId="77777777" w:rsidTr="001708C1">
              <w:trPr>
                <w:trHeight w:val="327"/>
                <w:tblHeader/>
              </w:trPr>
              <w:tc>
                <w:tcPr>
                  <w:tcW w:w="1423" w:type="pct"/>
                  <w:tcBorders>
                    <w:top w:val="single" w:sz="6" w:space="0" w:color="BFBFBF"/>
                    <w:left w:val="nil"/>
                    <w:bottom w:val="single" w:sz="6" w:space="0" w:color="BFBFBF"/>
                    <w:right w:val="nil"/>
                  </w:tcBorders>
                </w:tcPr>
                <w:p w14:paraId="1272E6A3" w14:textId="77777777" w:rsidR="00466311" w:rsidRPr="007F24DC" w:rsidRDefault="00466311" w:rsidP="001708C1">
                  <w:pPr>
                    <w:pStyle w:val="TableColumnHeading"/>
                    <w:keepNext w:val="0"/>
                    <w:keepLines w:val="0"/>
                    <w:widowControl w:val="0"/>
                    <w:jc w:val="left"/>
                    <w:rPr>
                      <w:rFonts w:cs="Arial"/>
                      <w:sz w:val="17"/>
                      <w:szCs w:val="18"/>
                    </w:rPr>
                  </w:pPr>
                </w:p>
              </w:tc>
              <w:tc>
                <w:tcPr>
                  <w:tcW w:w="447" w:type="pct"/>
                  <w:tcBorders>
                    <w:top w:val="single" w:sz="6" w:space="0" w:color="BFBFBF"/>
                    <w:left w:val="nil"/>
                    <w:bottom w:val="single" w:sz="6" w:space="0" w:color="BFBFBF"/>
                    <w:right w:val="nil"/>
                  </w:tcBorders>
                  <w:hideMark/>
                </w:tcPr>
                <w:p w14:paraId="5D06AD6A" w14:textId="77777777" w:rsidR="00466311" w:rsidRPr="007F24DC" w:rsidRDefault="00466311" w:rsidP="001708C1">
                  <w:pPr>
                    <w:pStyle w:val="TableColumnHeading"/>
                    <w:keepNext w:val="0"/>
                    <w:keepLines w:val="0"/>
                    <w:widowControl w:val="0"/>
                    <w:rPr>
                      <w:rStyle w:val="NoteLabel"/>
                      <w:rFonts w:cs="Arial"/>
                      <w:sz w:val="17"/>
                    </w:rPr>
                  </w:pPr>
                  <w:r w:rsidRPr="007F24DC">
                    <w:rPr>
                      <w:rFonts w:cs="Arial"/>
                      <w:sz w:val="17"/>
                      <w:szCs w:val="18"/>
                    </w:rPr>
                    <w:t>NSW</w:t>
                  </w:r>
                  <w:r w:rsidRPr="007F24DC">
                    <w:rPr>
                      <w:rStyle w:val="NoteLabel"/>
                      <w:rFonts w:cs="Arial"/>
                      <w:sz w:val="17"/>
                    </w:rPr>
                    <w:t>b</w:t>
                  </w:r>
                </w:p>
              </w:tc>
              <w:tc>
                <w:tcPr>
                  <w:tcW w:w="447" w:type="pct"/>
                  <w:tcBorders>
                    <w:top w:val="single" w:sz="6" w:space="0" w:color="BFBFBF"/>
                    <w:left w:val="nil"/>
                    <w:bottom w:val="single" w:sz="6" w:space="0" w:color="BFBFBF"/>
                    <w:right w:val="nil"/>
                  </w:tcBorders>
                  <w:hideMark/>
                </w:tcPr>
                <w:p w14:paraId="6437B02B" w14:textId="77777777" w:rsidR="00466311" w:rsidRPr="007F24DC" w:rsidRDefault="00466311" w:rsidP="001708C1">
                  <w:pPr>
                    <w:pStyle w:val="TableColumnHeading"/>
                    <w:keepNext w:val="0"/>
                    <w:keepLines w:val="0"/>
                    <w:widowControl w:val="0"/>
                    <w:rPr>
                      <w:rFonts w:cs="Arial"/>
                      <w:sz w:val="17"/>
                      <w:szCs w:val="18"/>
                    </w:rPr>
                  </w:pPr>
                  <w:r w:rsidRPr="007F24DC">
                    <w:rPr>
                      <w:rFonts w:cs="Arial"/>
                      <w:sz w:val="17"/>
                      <w:szCs w:val="18"/>
                    </w:rPr>
                    <w:t>Vic</w:t>
                  </w:r>
                </w:p>
              </w:tc>
              <w:tc>
                <w:tcPr>
                  <w:tcW w:w="447" w:type="pct"/>
                  <w:tcBorders>
                    <w:top w:val="single" w:sz="6" w:space="0" w:color="BFBFBF"/>
                    <w:left w:val="nil"/>
                    <w:bottom w:val="single" w:sz="6" w:space="0" w:color="BFBFBF"/>
                    <w:right w:val="nil"/>
                  </w:tcBorders>
                  <w:hideMark/>
                </w:tcPr>
                <w:p w14:paraId="476E5AB5"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Qld</w:t>
                  </w:r>
                </w:p>
              </w:tc>
              <w:tc>
                <w:tcPr>
                  <w:tcW w:w="447" w:type="pct"/>
                  <w:tcBorders>
                    <w:top w:val="single" w:sz="6" w:space="0" w:color="BFBFBF"/>
                    <w:left w:val="nil"/>
                    <w:bottom w:val="single" w:sz="6" w:space="0" w:color="BFBFBF"/>
                    <w:right w:val="nil"/>
                  </w:tcBorders>
                  <w:hideMark/>
                </w:tcPr>
                <w:p w14:paraId="6F9A999C"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WA</w:t>
                  </w:r>
                </w:p>
              </w:tc>
              <w:tc>
                <w:tcPr>
                  <w:tcW w:w="447" w:type="pct"/>
                  <w:tcBorders>
                    <w:top w:val="single" w:sz="6" w:space="0" w:color="BFBFBF"/>
                    <w:left w:val="nil"/>
                    <w:bottom w:val="single" w:sz="6" w:space="0" w:color="BFBFBF"/>
                    <w:right w:val="nil"/>
                  </w:tcBorders>
                  <w:hideMark/>
                </w:tcPr>
                <w:p w14:paraId="1903D6EE"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SA</w:t>
                  </w:r>
                </w:p>
              </w:tc>
              <w:tc>
                <w:tcPr>
                  <w:tcW w:w="447" w:type="pct"/>
                  <w:tcBorders>
                    <w:top w:val="single" w:sz="6" w:space="0" w:color="BFBFBF"/>
                    <w:left w:val="nil"/>
                    <w:bottom w:val="single" w:sz="6" w:space="0" w:color="BFBFBF"/>
                    <w:right w:val="nil"/>
                  </w:tcBorders>
                  <w:hideMark/>
                </w:tcPr>
                <w:p w14:paraId="4359399C"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Tas</w:t>
                  </w:r>
                </w:p>
              </w:tc>
              <w:tc>
                <w:tcPr>
                  <w:tcW w:w="447" w:type="pct"/>
                  <w:tcBorders>
                    <w:top w:val="single" w:sz="6" w:space="0" w:color="BFBFBF"/>
                    <w:left w:val="nil"/>
                    <w:bottom w:val="single" w:sz="6" w:space="0" w:color="BFBFBF"/>
                    <w:right w:val="nil"/>
                  </w:tcBorders>
                  <w:hideMark/>
                </w:tcPr>
                <w:p w14:paraId="5103E4A5" w14:textId="77777777" w:rsidR="00466311" w:rsidRPr="007F24DC" w:rsidRDefault="00466311" w:rsidP="001708C1">
                  <w:pPr>
                    <w:pStyle w:val="TableColumnHeading"/>
                    <w:keepNext w:val="0"/>
                    <w:keepLines w:val="0"/>
                    <w:widowControl w:val="0"/>
                    <w:ind w:right="28"/>
                    <w:rPr>
                      <w:rStyle w:val="NoteLabel"/>
                      <w:rFonts w:cs="Arial"/>
                      <w:sz w:val="17"/>
                    </w:rPr>
                  </w:pPr>
                  <w:r w:rsidRPr="007F24DC">
                    <w:rPr>
                      <w:rFonts w:cs="Arial"/>
                      <w:sz w:val="17"/>
                      <w:szCs w:val="18"/>
                    </w:rPr>
                    <w:t>ACT</w:t>
                  </w:r>
                  <w:r w:rsidRPr="007F24DC">
                    <w:rPr>
                      <w:rStyle w:val="NoteLabel"/>
                      <w:rFonts w:cs="Arial"/>
                      <w:sz w:val="17"/>
                    </w:rPr>
                    <w:t>c</w:t>
                  </w:r>
                </w:p>
              </w:tc>
              <w:tc>
                <w:tcPr>
                  <w:tcW w:w="447" w:type="pct"/>
                  <w:tcBorders>
                    <w:top w:val="single" w:sz="6" w:space="0" w:color="BFBFBF"/>
                    <w:left w:val="nil"/>
                    <w:bottom w:val="single" w:sz="6" w:space="0" w:color="BFBFBF"/>
                    <w:right w:val="nil"/>
                  </w:tcBorders>
                  <w:hideMark/>
                </w:tcPr>
                <w:p w14:paraId="1D677904"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NT</w:t>
                  </w:r>
                </w:p>
              </w:tc>
            </w:tr>
            <w:tr w:rsidR="00466311" w14:paraId="445D5AB6" w14:textId="77777777" w:rsidTr="001708C1">
              <w:trPr>
                <w:trHeight w:val="162"/>
                <w:tblHeader/>
              </w:trPr>
              <w:tc>
                <w:tcPr>
                  <w:tcW w:w="1423" w:type="pct"/>
                  <w:tcBorders>
                    <w:top w:val="single" w:sz="6" w:space="0" w:color="BFBFBF"/>
                    <w:left w:val="nil"/>
                    <w:bottom w:val="nil"/>
                    <w:right w:val="nil"/>
                  </w:tcBorders>
                </w:tcPr>
                <w:p w14:paraId="2D1ED3C2" w14:textId="77777777" w:rsidR="00466311" w:rsidRPr="007F24DC" w:rsidRDefault="00466311" w:rsidP="001708C1">
                  <w:pPr>
                    <w:pStyle w:val="TableUnitsRow"/>
                    <w:keepNext w:val="0"/>
                    <w:keepLines w:val="0"/>
                    <w:widowControl w:val="0"/>
                    <w:jc w:val="left"/>
                    <w:rPr>
                      <w:rFonts w:cs="Arial"/>
                      <w:b/>
                      <w:sz w:val="17"/>
                      <w:szCs w:val="18"/>
                    </w:rPr>
                  </w:pPr>
                  <w:r w:rsidRPr="007F24DC">
                    <w:rPr>
                      <w:rFonts w:cs="Arial"/>
                      <w:b/>
                      <w:sz w:val="17"/>
                      <w:szCs w:val="18"/>
                    </w:rPr>
                    <w:t>Useful asset lives (years)</w:t>
                  </w:r>
                  <w:r>
                    <w:rPr>
                      <w:rStyle w:val="NoteLabel"/>
                      <w:rFonts w:cs="Arial"/>
                      <w:sz w:val="17"/>
                    </w:rPr>
                    <w:t>b, c</w:t>
                  </w:r>
                </w:p>
              </w:tc>
              <w:tc>
                <w:tcPr>
                  <w:tcW w:w="447" w:type="pct"/>
                  <w:tcBorders>
                    <w:top w:val="single" w:sz="6" w:space="0" w:color="BFBFBF"/>
                    <w:left w:val="nil"/>
                    <w:right w:val="nil"/>
                  </w:tcBorders>
                </w:tcPr>
                <w:p w14:paraId="12AE9125"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4E02FFD9"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641E05A4"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6ECB4E4D"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0887C521"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5BA23EDB"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7A52366A"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3EFE7F10" w14:textId="77777777" w:rsidR="00466311" w:rsidRPr="007F24DC" w:rsidRDefault="00466311" w:rsidP="001708C1">
                  <w:pPr>
                    <w:pStyle w:val="TableUnitsRow"/>
                    <w:rPr>
                      <w:rFonts w:cs="Arial"/>
                      <w:sz w:val="17"/>
                    </w:rPr>
                  </w:pPr>
                </w:p>
              </w:tc>
            </w:tr>
            <w:tr w:rsidR="00466311" w14:paraId="447A6BAF" w14:textId="77777777" w:rsidTr="001708C1">
              <w:trPr>
                <w:tblHeader/>
              </w:trPr>
              <w:tc>
                <w:tcPr>
                  <w:tcW w:w="1423" w:type="pct"/>
                  <w:tcBorders>
                    <w:left w:val="nil"/>
                    <w:bottom w:val="nil"/>
                    <w:right w:val="nil"/>
                  </w:tcBorders>
                </w:tcPr>
                <w:p w14:paraId="4C6DC00C" w14:textId="77777777" w:rsidR="00466311" w:rsidRPr="007F24DC" w:rsidRDefault="00466311" w:rsidP="001708C1">
                  <w:pPr>
                    <w:pStyle w:val="TableBullet"/>
                    <w:rPr>
                      <w:rFonts w:cs="Arial"/>
                      <w:sz w:val="17"/>
                      <w:szCs w:val="16"/>
                    </w:rPr>
                  </w:pPr>
                  <w:r>
                    <w:rPr>
                      <w:rFonts w:cs="Arial"/>
                      <w:sz w:val="17"/>
                    </w:rPr>
                    <w:t>Plant and equipment</w:t>
                  </w:r>
                </w:p>
              </w:tc>
              <w:tc>
                <w:tcPr>
                  <w:tcW w:w="447" w:type="pct"/>
                  <w:tcBorders>
                    <w:left w:val="nil"/>
                    <w:bottom w:val="nil"/>
                    <w:right w:val="nil"/>
                  </w:tcBorders>
                </w:tcPr>
                <w:p w14:paraId="296D7496" w14:textId="5F53701C" w:rsidR="00466311" w:rsidRPr="007F24DC" w:rsidRDefault="00466311" w:rsidP="001708C1">
                  <w:pPr>
                    <w:pStyle w:val="TableUnitsRow"/>
                    <w:rPr>
                      <w:rFonts w:cs="Arial"/>
                      <w:sz w:val="17"/>
                    </w:rPr>
                  </w:pPr>
                  <w:r>
                    <w:rPr>
                      <w:rFonts w:cs="Arial"/>
                      <w:sz w:val="17"/>
                    </w:rPr>
                    <w:t>6.5</w:t>
                  </w:r>
                  <w:r w:rsidR="008735A5">
                    <w:rPr>
                      <w:rFonts w:cs="Arial"/>
                      <w:sz w:val="17"/>
                    </w:rPr>
                    <w:noBreakHyphen/>
                  </w:r>
                  <w:r>
                    <w:rPr>
                      <w:rFonts w:cs="Arial"/>
                      <w:sz w:val="17"/>
                    </w:rPr>
                    <w:t>10</w:t>
                  </w:r>
                </w:p>
              </w:tc>
              <w:tc>
                <w:tcPr>
                  <w:tcW w:w="447" w:type="pct"/>
                  <w:tcBorders>
                    <w:left w:val="nil"/>
                    <w:bottom w:val="nil"/>
                    <w:right w:val="nil"/>
                  </w:tcBorders>
                </w:tcPr>
                <w:p w14:paraId="671E6B5E" w14:textId="7C27FA84" w:rsidR="00466311" w:rsidRPr="007F24DC" w:rsidRDefault="00466311" w:rsidP="001708C1">
                  <w:pPr>
                    <w:pStyle w:val="TableUnitsRow"/>
                    <w:rPr>
                      <w:rFonts w:cs="Arial"/>
                      <w:sz w:val="17"/>
                    </w:rPr>
                  </w:pPr>
                  <w:r>
                    <w:rPr>
                      <w:rFonts w:cs="Arial"/>
                      <w:sz w:val="17"/>
                    </w:rPr>
                    <w:t>1</w:t>
                  </w:r>
                  <w:r w:rsidR="008735A5">
                    <w:rPr>
                      <w:rFonts w:cs="Arial"/>
                      <w:sz w:val="17"/>
                    </w:rPr>
                    <w:noBreakHyphen/>
                  </w:r>
                  <w:r>
                    <w:rPr>
                      <w:rFonts w:cs="Arial"/>
                      <w:sz w:val="17"/>
                    </w:rPr>
                    <w:t>40</w:t>
                  </w:r>
                </w:p>
              </w:tc>
              <w:tc>
                <w:tcPr>
                  <w:tcW w:w="447" w:type="pct"/>
                  <w:tcBorders>
                    <w:left w:val="nil"/>
                    <w:bottom w:val="nil"/>
                    <w:right w:val="nil"/>
                  </w:tcBorders>
                </w:tcPr>
                <w:p w14:paraId="1509DCED" w14:textId="55D2229C" w:rsidR="00466311" w:rsidRPr="007F24DC" w:rsidRDefault="007D4CB9" w:rsidP="001708C1">
                  <w:pPr>
                    <w:pStyle w:val="TableUnitsRow"/>
                    <w:rPr>
                      <w:rFonts w:cs="Arial"/>
                      <w:sz w:val="17"/>
                    </w:rPr>
                  </w:pPr>
                  <w:r>
                    <w:rPr>
                      <w:rFonts w:cs="Arial"/>
                      <w:sz w:val="17"/>
                    </w:rPr>
                    <w:t>2</w:t>
                  </w:r>
                  <w:r w:rsidR="008735A5">
                    <w:rPr>
                      <w:rFonts w:cs="Arial"/>
                      <w:sz w:val="17"/>
                    </w:rPr>
                    <w:noBreakHyphen/>
                  </w:r>
                  <w:r>
                    <w:rPr>
                      <w:rFonts w:cs="Arial"/>
                      <w:sz w:val="17"/>
                    </w:rPr>
                    <w:t>17</w:t>
                  </w:r>
                </w:p>
              </w:tc>
              <w:tc>
                <w:tcPr>
                  <w:tcW w:w="447" w:type="pct"/>
                  <w:tcBorders>
                    <w:left w:val="nil"/>
                    <w:bottom w:val="nil"/>
                    <w:right w:val="nil"/>
                  </w:tcBorders>
                </w:tcPr>
                <w:p w14:paraId="366D3987" w14:textId="3B219595" w:rsidR="00466311" w:rsidRPr="007F24DC" w:rsidRDefault="00466311" w:rsidP="001708C1">
                  <w:pPr>
                    <w:pStyle w:val="TableUnitsRow"/>
                    <w:rPr>
                      <w:rFonts w:cs="Arial"/>
                      <w:sz w:val="17"/>
                    </w:rPr>
                  </w:pPr>
                  <w:r>
                    <w:rPr>
                      <w:rFonts w:cs="Arial"/>
                      <w:sz w:val="17"/>
                    </w:rPr>
                    <w:t>4</w:t>
                  </w:r>
                  <w:r w:rsidR="008735A5">
                    <w:rPr>
                      <w:rFonts w:cs="Arial"/>
                      <w:sz w:val="17"/>
                    </w:rPr>
                    <w:noBreakHyphen/>
                  </w:r>
                  <w:r w:rsidR="007D4CB9">
                    <w:rPr>
                      <w:rFonts w:cs="Arial"/>
                      <w:sz w:val="17"/>
                    </w:rPr>
                    <w:t>2</w:t>
                  </w:r>
                  <w:r>
                    <w:rPr>
                      <w:rFonts w:cs="Arial"/>
                      <w:sz w:val="17"/>
                    </w:rPr>
                    <w:t>0</w:t>
                  </w:r>
                </w:p>
              </w:tc>
              <w:tc>
                <w:tcPr>
                  <w:tcW w:w="447" w:type="pct"/>
                  <w:tcBorders>
                    <w:left w:val="nil"/>
                    <w:bottom w:val="nil"/>
                    <w:right w:val="nil"/>
                  </w:tcBorders>
                </w:tcPr>
                <w:p w14:paraId="1744CA2F" w14:textId="77777777" w:rsidR="00466311" w:rsidRPr="007F24DC" w:rsidRDefault="00466311" w:rsidP="001708C1">
                  <w:pPr>
                    <w:pStyle w:val="TableUnitsRow"/>
                    <w:rPr>
                      <w:rFonts w:cs="Arial"/>
                      <w:sz w:val="17"/>
                    </w:rPr>
                  </w:pPr>
                  <w:r>
                    <w:rPr>
                      <w:rFonts w:cs="Arial"/>
                      <w:sz w:val="17"/>
                    </w:rPr>
                    <w:t>10</w:t>
                  </w:r>
                </w:p>
              </w:tc>
              <w:tc>
                <w:tcPr>
                  <w:tcW w:w="447" w:type="pct"/>
                  <w:tcBorders>
                    <w:left w:val="nil"/>
                    <w:bottom w:val="nil"/>
                    <w:right w:val="nil"/>
                  </w:tcBorders>
                </w:tcPr>
                <w:p w14:paraId="450D3442" w14:textId="10B06CAB" w:rsidR="00466311" w:rsidRPr="007F24DC" w:rsidRDefault="00466311" w:rsidP="001708C1">
                  <w:pPr>
                    <w:pStyle w:val="TableUnitsRow"/>
                    <w:rPr>
                      <w:rFonts w:cs="Arial"/>
                      <w:sz w:val="17"/>
                    </w:rPr>
                  </w:pPr>
                  <w:r>
                    <w:rPr>
                      <w:rFonts w:cs="Arial"/>
                      <w:sz w:val="17"/>
                    </w:rPr>
                    <w:t>1</w:t>
                  </w:r>
                  <w:r w:rsidR="008735A5">
                    <w:rPr>
                      <w:rFonts w:cs="Arial"/>
                      <w:sz w:val="17"/>
                    </w:rPr>
                    <w:noBreakHyphen/>
                  </w:r>
                  <w:r>
                    <w:rPr>
                      <w:rFonts w:cs="Arial"/>
                      <w:sz w:val="17"/>
                    </w:rPr>
                    <w:t>40</w:t>
                  </w:r>
                </w:p>
              </w:tc>
              <w:tc>
                <w:tcPr>
                  <w:tcW w:w="447" w:type="pct"/>
                  <w:tcBorders>
                    <w:left w:val="nil"/>
                    <w:bottom w:val="nil"/>
                    <w:right w:val="nil"/>
                  </w:tcBorders>
                </w:tcPr>
                <w:p w14:paraId="269A90E2" w14:textId="188B5C45" w:rsidR="00466311" w:rsidRPr="007F24DC" w:rsidRDefault="00466311" w:rsidP="001708C1">
                  <w:pPr>
                    <w:pStyle w:val="TableUnitsRow"/>
                    <w:rPr>
                      <w:rFonts w:cs="Arial"/>
                      <w:sz w:val="17"/>
                    </w:rPr>
                  </w:pPr>
                  <w:r>
                    <w:rPr>
                      <w:rFonts w:cs="Arial"/>
                      <w:sz w:val="17"/>
                    </w:rPr>
                    <w:t>3</w:t>
                  </w:r>
                  <w:r w:rsidR="008735A5">
                    <w:rPr>
                      <w:rFonts w:cs="Arial"/>
                      <w:sz w:val="17"/>
                    </w:rPr>
                    <w:noBreakHyphen/>
                  </w:r>
                  <w:r>
                    <w:rPr>
                      <w:rFonts w:cs="Arial"/>
                      <w:sz w:val="17"/>
                    </w:rPr>
                    <w:t>25</w:t>
                  </w:r>
                </w:p>
              </w:tc>
              <w:tc>
                <w:tcPr>
                  <w:tcW w:w="447" w:type="pct"/>
                  <w:tcBorders>
                    <w:left w:val="nil"/>
                    <w:bottom w:val="nil"/>
                    <w:right w:val="nil"/>
                  </w:tcBorders>
                </w:tcPr>
                <w:p w14:paraId="12B4FDD4" w14:textId="2E80D40F" w:rsidR="00466311" w:rsidRPr="007F24DC" w:rsidRDefault="00466311" w:rsidP="001708C1">
                  <w:pPr>
                    <w:pStyle w:val="TableUnitsRow"/>
                    <w:rPr>
                      <w:rFonts w:cs="Arial"/>
                      <w:sz w:val="17"/>
                    </w:rPr>
                  </w:pPr>
                  <w:r>
                    <w:rPr>
                      <w:rFonts w:cs="Arial"/>
                      <w:sz w:val="17"/>
                    </w:rPr>
                    <w:t>1</w:t>
                  </w:r>
                  <w:r w:rsidR="008735A5">
                    <w:rPr>
                      <w:rFonts w:cs="Arial"/>
                      <w:sz w:val="17"/>
                    </w:rPr>
                    <w:noBreakHyphen/>
                  </w:r>
                  <w:r>
                    <w:rPr>
                      <w:rFonts w:cs="Arial"/>
                      <w:sz w:val="17"/>
                    </w:rPr>
                    <w:t>10</w:t>
                  </w:r>
                </w:p>
              </w:tc>
            </w:tr>
            <w:tr w:rsidR="00466311" w14:paraId="65772A59" w14:textId="77777777" w:rsidTr="001708C1">
              <w:trPr>
                <w:tblHeader/>
              </w:trPr>
              <w:tc>
                <w:tcPr>
                  <w:tcW w:w="1423" w:type="pct"/>
                  <w:tcBorders>
                    <w:left w:val="nil"/>
                    <w:bottom w:val="nil"/>
                    <w:right w:val="nil"/>
                  </w:tcBorders>
                </w:tcPr>
                <w:p w14:paraId="2781DEDC" w14:textId="2B0129FF" w:rsidR="00466311" w:rsidRPr="007F24DC" w:rsidRDefault="00466311" w:rsidP="001708C1">
                  <w:pPr>
                    <w:pStyle w:val="TableBullet"/>
                    <w:rPr>
                      <w:rFonts w:cs="Arial"/>
                      <w:sz w:val="17"/>
                      <w:szCs w:val="16"/>
                    </w:rPr>
                  </w:pPr>
                  <w:r w:rsidRPr="007F24DC">
                    <w:rPr>
                      <w:rFonts w:cs="Arial"/>
                      <w:sz w:val="17"/>
                    </w:rPr>
                    <w:t>IT equipment</w:t>
                  </w:r>
                  <w:r w:rsidR="007D4CB9">
                    <w:rPr>
                      <w:rStyle w:val="NoteLabel"/>
                    </w:rPr>
                    <w:t>d</w:t>
                  </w:r>
                </w:p>
              </w:tc>
              <w:tc>
                <w:tcPr>
                  <w:tcW w:w="447" w:type="pct"/>
                  <w:tcBorders>
                    <w:left w:val="nil"/>
                    <w:bottom w:val="nil"/>
                    <w:right w:val="nil"/>
                  </w:tcBorders>
                </w:tcPr>
                <w:p w14:paraId="3C4F5FEF" w14:textId="77777777" w:rsidR="00466311" w:rsidRPr="007F24DC" w:rsidRDefault="00466311" w:rsidP="001708C1">
                  <w:pPr>
                    <w:pStyle w:val="TableUnitsRow"/>
                    <w:rPr>
                      <w:rFonts w:cs="Arial"/>
                      <w:sz w:val="17"/>
                    </w:rPr>
                  </w:pPr>
                  <w:r>
                    <w:rPr>
                      <w:rFonts w:cs="Arial"/>
                      <w:sz w:val="17"/>
                    </w:rPr>
                    <w:t>4</w:t>
                  </w:r>
                </w:p>
              </w:tc>
              <w:tc>
                <w:tcPr>
                  <w:tcW w:w="447" w:type="pct"/>
                  <w:tcBorders>
                    <w:left w:val="nil"/>
                    <w:bottom w:val="nil"/>
                    <w:right w:val="nil"/>
                  </w:tcBorders>
                </w:tcPr>
                <w:p w14:paraId="4C202EA3" w14:textId="791CAFBE" w:rsidR="00466311" w:rsidRPr="007F24DC" w:rsidRDefault="00466311" w:rsidP="001708C1">
                  <w:pPr>
                    <w:pStyle w:val="TableUnitsRow"/>
                    <w:rPr>
                      <w:rFonts w:cs="Arial"/>
                      <w:sz w:val="17"/>
                    </w:rPr>
                  </w:pPr>
                  <w:r>
                    <w:rPr>
                      <w:rFonts w:cs="Arial"/>
                      <w:sz w:val="17"/>
                    </w:rPr>
                    <w:t>1</w:t>
                  </w:r>
                  <w:r w:rsidR="008735A5">
                    <w:rPr>
                      <w:rFonts w:cs="Arial"/>
                      <w:sz w:val="17"/>
                    </w:rPr>
                    <w:noBreakHyphen/>
                  </w:r>
                  <w:r>
                    <w:rPr>
                      <w:rFonts w:cs="Arial"/>
                      <w:sz w:val="17"/>
                    </w:rPr>
                    <w:t>5</w:t>
                  </w:r>
                </w:p>
              </w:tc>
              <w:tc>
                <w:tcPr>
                  <w:tcW w:w="447" w:type="pct"/>
                  <w:tcBorders>
                    <w:left w:val="nil"/>
                    <w:bottom w:val="nil"/>
                    <w:right w:val="nil"/>
                  </w:tcBorders>
                </w:tcPr>
                <w:p w14:paraId="09AA02C1" w14:textId="73DE00F5" w:rsidR="00466311" w:rsidRPr="007F24DC" w:rsidRDefault="002D2140" w:rsidP="001708C1">
                  <w:pPr>
                    <w:pStyle w:val="TableUnitsRow"/>
                    <w:rPr>
                      <w:rFonts w:cs="Arial"/>
                      <w:sz w:val="17"/>
                    </w:rPr>
                  </w:pPr>
                  <w:r>
                    <w:rPr>
                      <w:rFonts w:cs="Arial"/>
                      <w:sz w:val="17"/>
                    </w:rPr>
                    <w:t>3</w:t>
                  </w:r>
                  <w:r w:rsidR="008735A5">
                    <w:rPr>
                      <w:rFonts w:cs="Arial"/>
                      <w:sz w:val="17"/>
                    </w:rPr>
                    <w:noBreakHyphen/>
                  </w:r>
                  <w:r>
                    <w:rPr>
                      <w:rFonts w:cs="Arial"/>
                      <w:sz w:val="17"/>
                    </w:rPr>
                    <w:t>8</w:t>
                  </w:r>
                </w:p>
              </w:tc>
              <w:tc>
                <w:tcPr>
                  <w:tcW w:w="447" w:type="pct"/>
                  <w:tcBorders>
                    <w:left w:val="nil"/>
                    <w:bottom w:val="nil"/>
                    <w:right w:val="nil"/>
                  </w:tcBorders>
                </w:tcPr>
                <w:p w14:paraId="5A3849EE" w14:textId="39E77D3E" w:rsidR="00466311" w:rsidRPr="007F24DC" w:rsidRDefault="00466311" w:rsidP="001708C1">
                  <w:pPr>
                    <w:pStyle w:val="TableUnitsRow"/>
                    <w:rPr>
                      <w:rFonts w:cs="Arial"/>
                      <w:sz w:val="17"/>
                    </w:rPr>
                  </w:pPr>
                  <w:r>
                    <w:rPr>
                      <w:rFonts w:cs="Arial"/>
                      <w:sz w:val="17"/>
                    </w:rPr>
                    <w:t>4</w:t>
                  </w:r>
                  <w:r w:rsidR="008735A5">
                    <w:rPr>
                      <w:rFonts w:cs="Arial"/>
                      <w:sz w:val="17"/>
                    </w:rPr>
                    <w:noBreakHyphen/>
                  </w:r>
                  <w:r w:rsidR="007D4CB9">
                    <w:rPr>
                      <w:rFonts w:cs="Arial"/>
                      <w:sz w:val="17"/>
                    </w:rPr>
                    <w:t>40</w:t>
                  </w:r>
                </w:p>
              </w:tc>
              <w:tc>
                <w:tcPr>
                  <w:tcW w:w="447" w:type="pct"/>
                  <w:tcBorders>
                    <w:left w:val="nil"/>
                    <w:bottom w:val="nil"/>
                    <w:right w:val="nil"/>
                  </w:tcBorders>
                </w:tcPr>
                <w:p w14:paraId="3C79028F" w14:textId="77777777" w:rsidR="00466311" w:rsidRPr="007F24DC" w:rsidRDefault="00466311" w:rsidP="001708C1">
                  <w:pPr>
                    <w:pStyle w:val="TableUnitsRow"/>
                    <w:rPr>
                      <w:rFonts w:cs="Arial"/>
                      <w:sz w:val="17"/>
                    </w:rPr>
                  </w:pPr>
                  <w:r>
                    <w:rPr>
                      <w:rFonts w:cs="Arial"/>
                      <w:sz w:val="17"/>
                    </w:rPr>
                    <w:t>3</w:t>
                  </w:r>
                </w:p>
              </w:tc>
              <w:tc>
                <w:tcPr>
                  <w:tcW w:w="447" w:type="pct"/>
                  <w:tcBorders>
                    <w:left w:val="nil"/>
                    <w:bottom w:val="nil"/>
                    <w:right w:val="nil"/>
                  </w:tcBorders>
                </w:tcPr>
                <w:p w14:paraId="0963EC4A" w14:textId="77777777" w:rsidR="00466311" w:rsidRPr="007F24DC" w:rsidRDefault="00466311" w:rsidP="001708C1">
                  <w:pPr>
                    <w:pStyle w:val="TableUnitsRow"/>
                    <w:rPr>
                      <w:rFonts w:cs="Arial"/>
                      <w:sz w:val="17"/>
                    </w:rPr>
                  </w:pPr>
                  <w:r>
                    <w:rPr>
                      <w:rFonts w:cs="Arial"/>
                      <w:sz w:val="17"/>
                    </w:rPr>
                    <w:t>5</w:t>
                  </w:r>
                </w:p>
              </w:tc>
              <w:tc>
                <w:tcPr>
                  <w:tcW w:w="447" w:type="pct"/>
                  <w:tcBorders>
                    <w:left w:val="nil"/>
                    <w:bottom w:val="nil"/>
                    <w:right w:val="nil"/>
                  </w:tcBorders>
                </w:tcPr>
                <w:p w14:paraId="596C792C" w14:textId="77777777" w:rsidR="00466311" w:rsidRPr="007F24DC" w:rsidRDefault="00466311" w:rsidP="001708C1">
                  <w:pPr>
                    <w:pStyle w:val="TableUnitsRow"/>
                    <w:rPr>
                      <w:rFonts w:cs="Arial"/>
                      <w:sz w:val="17"/>
                    </w:rPr>
                  </w:pPr>
                  <w:r>
                    <w:rPr>
                      <w:rFonts w:cs="Arial"/>
                      <w:sz w:val="17"/>
                    </w:rPr>
                    <w:t>3</w:t>
                  </w:r>
                </w:p>
              </w:tc>
              <w:tc>
                <w:tcPr>
                  <w:tcW w:w="447" w:type="pct"/>
                  <w:tcBorders>
                    <w:left w:val="nil"/>
                    <w:bottom w:val="nil"/>
                    <w:right w:val="nil"/>
                  </w:tcBorders>
                </w:tcPr>
                <w:p w14:paraId="31715FDB" w14:textId="5DE98A8C" w:rsidR="00466311" w:rsidRPr="007F24DC" w:rsidRDefault="00466311" w:rsidP="001708C1">
                  <w:pPr>
                    <w:pStyle w:val="TableUnitsRow"/>
                    <w:rPr>
                      <w:rFonts w:cs="Arial"/>
                      <w:sz w:val="17"/>
                    </w:rPr>
                  </w:pPr>
                  <w:r>
                    <w:rPr>
                      <w:rFonts w:cs="Arial"/>
                      <w:sz w:val="17"/>
                    </w:rPr>
                    <w:t>3</w:t>
                  </w:r>
                  <w:r w:rsidR="008735A5">
                    <w:rPr>
                      <w:rFonts w:cs="Arial"/>
                      <w:sz w:val="17"/>
                    </w:rPr>
                    <w:noBreakHyphen/>
                  </w:r>
                  <w:r>
                    <w:rPr>
                      <w:rFonts w:cs="Arial"/>
                      <w:sz w:val="17"/>
                    </w:rPr>
                    <w:t>6</w:t>
                  </w:r>
                </w:p>
              </w:tc>
            </w:tr>
            <w:tr w:rsidR="00466311" w14:paraId="5097AE8B" w14:textId="77777777" w:rsidTr="001708C1">
              <w:trPr>
                <w:tblHeader/>
              </w:trPr>
              <w:tc>
                <w:tcPr>
                  <w:tcW w:w="1423" w:type="pct"/>
                  <w:tcBorders>
                    <w:left w:val="nil"/>
                    <w:bottom w:val="nil"/>
                    <w:right w:val="nil"/>
                  </w:tcBorders>
                </w:tcPr>
                <w:p w14:paraId="27A097B6" w14:textId="47331823" w:rsidR="00466311" w:rsidRPr="007F24DC" w:rsidRDefault="00466311" w:rsidP="001708C1">
                  <w:pPr>
                    <w:pStyle w:val="TableBullet"/>
                    <w:rPr>
                      <w:rFonts w:cs="Arial"/>
                      <w:sz w:val="17"/>
                      <w:szCs w:val="16"/>
                    </w:rPr>
                  </w:pPr>
                  <w:r w:rsidRPr="007F24DC">
                    <w:rPr>
                      <w:rFonts w:cs="Arial"/>
                      <w:sz w:val="17"/>
                    </w:rPr>
                    <w:t>O</w:t>
                  </w:r>
                  <w:r>
                    <w:rPr>
                      <w:rFonts w:cs="Arial"/>
                      <w:sz w:val="17"/>
                    </w:rPr>
                    <w:t>ffice equipment</w:t>
                  </w:r>
                  <w:r w:rsidR="007D4CB9">
                    <w:rPr>
                      <w:rStyle w:val="NoteLabel"/>
                    </w:rPr>
                    <w:t>e</w:t>
                  </w:r>
                </w:p>
              </w:tc>
              <w:tc>
                <w:tcPr>
                  <w:tcW w:w="447" w:type="pct"/>
                  <w:tcBorders>
                    <w:left w:val="nil"/>
                    <w:bottom w:val="nil"/>
                    <w:right w:val="nil"/>
                  </w:tcBorders>
                </w:tcPr>
                <w:p w14:paraId="56E8F2DD" w14:textId="77777777" w:rsidR="00466311" w:rsidRPr="007F24DC" w:rsidRDefault="00466311" w:rsidP="001708C1">
                  <w:pPr>
                    <w:pStyle w:val="TableUnitsRow"/>
                    <w:rPr>
                      <w:rFonts w:cs="Arial"/>
                      <w:sz w:val="17"/>
                    </w:rPr>
                  </w:pPr>
                  <w:r>
                    <w:rPr>
                      <w:rFonts w:cs="Arial"/>
                      <w:sz w:val="17"/>
                    </w:rPr>
                    <w:t>10</w:t>
                  </w:r>
                </w:p>
              </w:tc>
              <w:tc>
                <w:tcPr>
                  <w:tcW w:w="447" w:type="pct"/>
                  <w:tcBorders>
                    <w:left w:val="nil"/>
                    <w:bottom w:val="nil"/>
                    <w:right w:val="nil"/>
                  </w:tcBorders>
                </w:tcPr>
                <w:p w14:paraId="41B9E8A5" w14:textId="1D9E3AD3" w:rsidR="00466311" w:rsidRPr="007F24DC" w:rsidRDefault="00466311" w:rsidP="001708C1">
                  <w:pPr>
                    <w:pStyle w:val="TableUnitsRow"/>
                    <w:rPr>
                      <w:rFonts w:cs="Arial"/>
                      <w:sz w:val="17"/>
                    </w:rPr>
                  </w:pPr>
                  <w:r>
                    <w:rPr>
                      <w:rFonts w:cs="Arial"/>
                      <w:sz w:val="17"/>
                    </w:rPr>
                    <w:t>1</w:t>
                  </w:r>
                  <w:r w:rsidR="008735A5">
                    <w:rPr>
                      <w:rFonts w:cs="Arial"/>
                      <w:sz w:val="17"/>
                    </w:rPr>
                    <w:noBreakHyphen/>
                  </w:r>
                  <w:r>
                    <w:rPr>
                      <w:rFonts w:cs="Arial"/>
                      <w:sz w:val="17"/>
                    </w:rPr>
                    <w:t>10</w:t>
                  </w:r>
                </w:p>
              </w:tc>
              <w:tc>
                <w:tcPr>
                  <w:tcW w:w="447" w:type="pct"/>
                  <w:tcBorders>
                    <w:left w:val="nil"/>
                    <w:bottom w:val="nil"/>
                    <w:right w:val="nil"/>
                  </w:tcBorders>
                </w:tcPr>
                <w:p w14:paraId="141ECC0C" w14:textId="67288EDD" w:rsidR="00466311" w:rsidRPr="007F24DC" w:rsidRDefault="002D2140" w:rsidP="001708C1">
                  <w:pPr>
                    <w:pStyle w:val="TableUnitsRow"/>
                    <w:rPr>
                      <w:rFonts w:cs="Arial"/>
                      <w:sz w:val="17"/>
                    </w:rPr>
                  </w:pPr>
                  <w:r>
                    <w:rPr>
                      <w:rFonts w:cs="Arial"/>
                      <w:sz w:val="17"/>
                    </w:rPr>
                    <w:t>4</w:t>
                  </w:r>
                  <w:r w:rsidR="008735A5">
                    <w:rPr>
                      <w:rFonts w:cs="Arial"/>
                      <w:sz w:val="17"/>
                    </w:rPr>
                    <w:noBreakHyphen/>
                  </w:r>
                  <w:r w:rsidR="00466311">
                    <w:rPr>
                      <w:rFonts w:cs="Arial"/>
                      <w:sz w:val="17"/>
                    </w:rPr>
                    <w:t>4</w:t>
                  </w:r>
                  <w:r>
                    <w:rPr>
                      <w:rFonts w:cs="Arial"/>
                      <w:sz w:val="17"/>
                    </w:rPr>
                    <w:t>0</w:t>
                  </w:r>
                </w:p>
              </w:tc>
              <w:tc>
                <w:tcPr>
                  <w:tcW w:w="447" w:type="pct"/>
                  <w:tcBorders>
                    <w:left w:val="nil"/>
                    <w:bottom w:val="nil"/>
                    <w:right w:val="nil"/>
                  </w:tcBorders>
                </w:tcPr>
                <w:p w14:paraId="7C86B47C" w14:textId="77777777" w:rsidR="00466311" w:rsidRPr="007F24DC" w:rsidRDefault="00466311" w:rsidP="001708C1">
                  <w:pPr>
                    <w:pStyle w:val="TableUnitsRow"/>
                    <w:rPr>
                      <w:rFonts w:cs="Arial"/>
                      <w:sz w:val="17"/>
                    </w:rPr>
                  </w:pPr>
                  <w:r>
                    <w:rPr>
                      <w:rFonts w:cs="Arial"/>
                      <w:sz w:val="17"/>
                    </w:rPr>
                    <w:t>7</w:t>
                  </w:r>
                </w:p>
              </w:tc>
              <w:tc>
                <w:tcPr>
                  <w:tcW w:w="447" w:type="pct"/>
                  <w:tcBorders>
                    <w:left w:val="nil"/>
                    <w:bottom w:val="nil"/>
                    <w:right w:val="nil"/>
                  </w:tcBorders>
                </w:tcPr>
                <w:p w14:paraId="56C6E7DD" w14:textId="77777777" w:rsidR="00466311" w:rsidRPr="007F24DC" w:rsidRDefault="00466311" w:rsidP="001708C1">
                  <w:pPr>
                    <w:pStyle w:val="TableUnitsRow"/>
                    <w:rPr>
                      <w:rFonts w:cs="Arial"/>
                      <w:sz w:val="17"/>
                    </w:rPr>
                  </w:pPr>
                  <w:r>
                    <w:rPr>
                      <w:rFonts w:cs="Arial"/>
                      <w:sz w:val="17"/>
                    </w:rPr>
                    <w:t>10</w:t>
                  </w:r>
                </w:p>
              </w:tc>
              <w:tc>
                <w:tcPr>
                  <w:tcW w:w="447" w:type="pct"/>
                  <w:tcBorders>
                    <w:left w:val="nil"/>
                    <w:bottom w:val="nil"/>
                    <w:right w:val="nil"/>
                  </w:tcBorders>
                </w:tcPr>
                <w:p w14:paraId="27B9FC01" w14:textId="33304609" w:rsidR="00466311" w:rsidRPr="007F24DC" w:rsidRDefault="00466311" w:rsidP="001708C1">
                  <w:pPr>
                    <w:pStyle w:val="TableUnitsRow"/>
                    <w:rPr>
                      <w:rFonts w:cs="Arial"/>
                      <w:sz w:val="17"/>
                    </w:rPr>
                  </w:pPr>
                  <w:r>
                    <w:rPr>
                      <w:rFonts w:cs="Arial"/>
                      <w:sz w:val="17"/>
                    </w:rPr>
                    <w:t>1</w:t>
                  </w:r>
                  <w:r w:rsidR="008735A5">
                    <w:rPr>
                      <w:rFonts w:cs="Arial"/>
                      <w:sz w:val="17"/>
                    </w:rPr>
                    <w:noBreakHyphen/>
                  </w:r>
                  <w:r>
                    <w:rPr>
                      <w:rFonts w:cs="Arial"/>
                      <w:sz w:val="17"/>
                    </w:rPr>
                    <w:t>40</w:t>
                  </w:r>
                </w:p>
              </w:tc>
              <w:tc>
                <w:tcPr>
                  <w:tcW w:w="447" w:type="pct"/>
                  <w:tcBorders>
                    <w:left w:val="nil"/>
                    <w:bottom w:val="nil"/>
                    <w:right w:val="nil"/>
                  </w:tcBorders>
                </w:tcPr>
                <w:p w14:paraId="2505695D" w14:textId="77777777" w:rsidR="00466311" w:rsidRPr="007F24DC" w:rsidRDefault="00466311" w:rsidP="001708C1">
                  <w:pPr>
                    <w:pStyle w:val="TableUnitsRow"/>
                    <w:rPr>
                      <w:rFonts w:cs="Arial"/>
                      <w:sz w:val="17"/>
                    </w:rPr>
                  </w:pPr>
                  <w:r>
                    <w:rPr>
                      <w:rFonts w:cs="Arial"/>
                      <w:sz w:val="17"/>
                    </w:rPr>
                    <w:t>5</w:t>
                  </w:r>
                </w:p>
              </w:tc>
              <w:tc>
                <w:tcPr>
                  <w:tcW w:w="447" w:type="pct"/>
                  <w:tcBorders>
                    <w:left w:val="nil"/>
                    <w:bottom w:val="nil"/>
                    <w:right w:val="nil"/>
                  </w:tcBorders>
                </w:tcPr>
                <w:p w14:paraId="5BA7D4B3" w14:textId="15DFA932" w:rsidR="00466311" w:rsidRPr="007F24DC" w:rsidRDefault="00466311" w:rsidP="001708C1">
                  <w:pPr>
                    <w:pStyle w:val="TableUnitsRow"/>
                    <w:rPr>
                      <w:rFonts w:cs="Arial"/>
                      <w:sz w:val="17"/>
                    </w:rPr>
                  </w:pPr>
                  <w:r>
                    <w:rPr>
                      <w:rFonts w:cs="Arial"/>
                      <w:sz w:val="17"/>
                    </w:rPr>
                    <w:t>5</w:t>
                  </w:r>
                  <w:r w:rsidR="008735A5">
                    <w:rPr>
                      <w:rFonts w:cs="Arial"/>
                      <w:sz w:val="17"/>
                    </w:rPr>
                    <w:noBreakHyphen/>
                  </w:r>
                  <w:r>
                    <w:rPr>
                      <w:rFonts w:cs="Arial"/>
                      <w:sz w:val="17"/>
                    </w:rPr>
                    <w:t>10</w:t>
                  </w:r>
                </w:p>
              </w:tc>
            </w:tr>
            <w:tr w:rsidR="00466311" w14:paraId="1897DFD4" w14:textId="77777777" w:rsidTr="001708C1">
              <w:trPr>
                <w:tblHeader/>
              </w:trPr>
              <w:tc>
                <w:tcPr>
                  <w:tcW w:w="1423" w:type="pct"/>
                  <w:tcBorders>
                    <w:left w:val="nil"/>
                    <w:bottom w:val="nil"/>
                    <w:right w:val="nil"/>
                  </w:tcBorders>
                </w:tcPr>
                <w:p w14:paraId="660FEA54" w14:textId="2A3FB08F" w:rsidR="00466311" w:rsidRPr="007F24DC" w:rsidRDefault="00466311" w:rsidP="001708C1">
                  <w:pPr>
                    <w:pStyle w:val="TableBullet"/>
                    <w:rPr>
                      <w:rFonts w:cs="Arial"/>
                      <w:sz w:val="17"/>
                      <w:szCs w:val="16"/>
                    </w:rPr>
                  </w:pPr>
                  <w:r>
                    <w:rPr>
                      <w:rFonts w:cs="Arial"/>
                      <w:sz w:val="17"/>
                    </w:rPr>
                    <w:t>Motor vehicles</w:t>
                  </w:r>
                  <w:r w:rsidR="007D4CB9">
                    <w:rPr>
                      <w:rStyle w:val="NoteLabel"/>
                    </w:rPr>
                    <w:t>f</w:t>
                  </w:r>
                </w:p>
              </w:tc>
              <w:tc>
                <w:tcPr>
                  <w:tcW w:w="447" w:type="pct"/>
                  <w:tcBorders>
                    <w:left w:val="nil"/>
                    <w:bottom w:val="nil"/>
                    <w:right w:val="nil"/>
                  </w:tcBorders>
                </w:tcPr>
                <w:p w14:paraId="0B9D7E92" w14:textId="77777777" w:rsidR="00466311" w:rsidRPr="007F24DC" w:rsidRDefault="00466311" w:rsidP="001708C1">
                  <w:pPr>
                    <w:pStyle w:val="TableUnitsRow"/>
                    <w:rPr>
                      <w:rFonts w:cs="Arial"/>
                      <w:sz w:val="17"/>
                    </w:rPr>
                  </w:pPr>
                  <w:r>
                    <w:rPr>
                      <w:rFonts w:cs="Arial"/>
                      <w:sz w:val="17"/>
                    </w:rPr>
                    <w:t>Owned vehicles 6.5</w:t>
                  </w:r>
                </w:p>
              </w:tc>
              <w:tc>
                <w:tcPr>
                  <w:tcW w:w="447" w:type="pct"/>
                  <w:tcBorders>
                    <w:left w:val="nil"/>
                    <w:bottom w:val="nil"/>
                    <w:right w:val="nil"/>
                  </w:tcBorders>
                </w:tcPr>
                <w:p w14:paraId="340D69A7" w14:textId="570781E2" w:rsidR="00466311" w:rsidRPr="007F24DC" w:rsidRDefault="00466311" w:rsidP="001708C1">
                  <w:pPr>
                    <w:pStyle w:val="TableUnitsRow"/>
                    <w:rPr>
                      <w:rFonts w:cs="Arial"/>
                      <w:sz w:val="17"/>
                    </w:rPr>
                  </w:pPr>
                  <w:r>
                    <w:rPr>
                      <w:rFonts w:cs="Arial"/>
                      <w:sz w:val="17"/>
                    </w:rPr>
                    <w:t>1</w:t>
                  </w:r>
                  <w:r w:rsidR="008735A5">
                    <w:rPr>
                      <w:rFonts w:cs="Arial"/>
                      <w:sz w:val="17"/>
                    </w:rPr>
                    <w:noBreakHyphen/>
                  </w:r>
                  <w:r>
                    <w:rPr>
                      <w:rFonts w:cs="Arial"/>
                      <w:sz w:val="17"/>
                    </w:rPr>
                    <w:t>10</w:t>
                  </w:r>
                </w:p>
              </w:tc>
              <w:tc>
                <w:tcPr>
                  <w:tcW w:w="447" w:type="pct"/>
                  <w:tcBorders>
                    <w:left w:val="nil"/>
                    <w:bottom w:val="nil"/>
                    <w:right w:val="nil"/>
                  </w:tcBorders>
                </w:tcPr>
                <w:p w14:paraId="019AF181" w14:textId="0A07211F" w:rsidR="00466311" w:rsidRPr="007F24DC" w:rsidRDefault="00466311" w:rsidP="001708C1">
                  <w:pPr>
                    <w:pStyle w:val="TableUnitsRow"/>
                    <w:rPr>
                      <w:rFonts w:cs="Arial"/>
                      <w:sz w:val="17"/>
                    </w:rPr>
                  </w:pPr>
                  <w:r>
                    <w:rPr>
                      <w:rFonts w:cs="Arial"/>
                      <w:sz w:val="17"/>
                    </w:rPr>
                    <w:t>2</w:t>
                  </w:r>
                  <w:r w:rsidR="008735A5">
                    <w:rPr>
                      <w:rFonts w:cs="Arial"/>
                      <w:sz w:val="17"/>
                    </w:rPr>
                    <w:noBreakHyphen/>
                  </w:r>
                  <w:r>
                    <w:rPr>
                      <w:rFonts w:cs="Arial"/>
                      <w:sz w:val="17"/>
                    </w:rPr>
                    <w:t>10</w:t>
                  </w:r>
                </w:p>
              </w:tc>
              <w:tc>
                <w:tcPr>
                  <w:tcW w:w="447" w:type="pct"/>
                  <w:tcBorders>
                    <w:left w:val="nil"/>
                    <w:bottom w:val="nil"/>
                    <w:right w:val="nil"/>
                  </w:tcBorders>
                </w:tcPr>
                <w:p w14:paraId="302FA06E" w14:textId="453148B2" w:rsidR="00466311" w:rsidRPr="007F24DC" w:rsidRDefault="00466311" w:rsidP="001708C1">
                  <w:pPr>
                    <w:pStyle w:val="TableUnitsRow"/>
                    <w:rPr>
                      <w:rFonts w:cs="Arial"/>
                      <w:sz w:val="17"/>
                    </w:rPr>
                  </w:pPr>
                  <w:r>
                    <w:rPr>
                      <w:rFonts w:cs="Arial"/>
                      <w:sz w:val="17"/>
                    </w:rPr>
                    <w:t>5</w:t>
                  </w:r>
                  <w:r w:rsidR="008735A5">
                    <w:rPr>
                      <w:rFonts w:cs="Arial"/>
                      <w:sz w:val="17"/>
                    </w:rPr>
                    <w:noBreakHyphen/>
                  </w:r>
                  <w:r>
                    <w:rPr>
                      <w:rFonts w:cs="Arial"/>
                      <w:sz w:val="17"/>
                    </w:rPr>
                    <w:t>10</w:t>
                  </w:r>
                </w:p>
              </w:tc>
              <w:tc>
                <w:tcPr>
                  <w:tcW w:w="447" w:type="pct"/>
                  <w:tcBorders>
                    <w:left w:val="nil"/>
                    <w:bottom w:val="nil"/>
                    <w:right w:val="nil"/>
                  </w:tcBorders>
                </w:tcPr>
                <w:p w14:paraId="2E2A6924" w14:textId="42F76B05" w:rsidR="00466311" w:rsidRPr="007F24DC" w:rsidRDefault="00466311" w:rsidP="001708C1">
                  <w:pPr>
                    <w:pStyle w:val="TableUnitsRow"/>
                    <w:rPr>
                      <w:rFonts w:cs="Arial"/>
                      <w:sz w:val="17"/>
                    </w:rPr>
                  </w:pPr>
                  <w:r>
                    <w:rPr>
                      <w:rFonts w:cs="Arial"/>
                      <w:sz w:val="17"/>
                    </w:rPr>
                    <w:t>3</w:t>
                  </w:r>
                  <w:r w:rsidR="008735A5">
                    <w:rPr>
                      <w:rFonts w:cs="Arial"/>
                      <w:sz w:val="17"/>
                    </w:rPr>
                    <w:noBreakHyphen/>
                  </w:r>
                  <w:r>
                    <w:rPr>
                      <w:rFonts w:cs="Arial"/>
                      <w:sz w:val="17"/>
                    </w:rPr>
                    <w:t>10</w:t>
                  </w:r>
                </w:p>
              </w:tc>
              <w:tc>
                <w:tcPr>
                  <w:tcW w:w="447" w:type="pct"/>
                  <w:tcBorders>
                    <w:left w:val="nil"/>
                    <w:bottom w:val="nil"/>
                    <w:right w:val="nil"/>
                  </w:tcBorders>
                </w:tcPr>
                <w:p w14:paraId="2C104C81" w14:textId="77777777" w:rsidR="00466311" w:rsidRPr="007F24DC" w:rsidRDefault="00466311" w:rsidP="001708C1">
                  <w:pPr>
                    <w:pStyle w:val="TableUnitsRow"/>
                    <w:rPr>
                      <w:rFonts w:cs="Arial"/>
                      <w:sz w:val="17"/>
                    </w:rPr>
                  </w:pPr>
                  <w:r>
                    <w:rPr>
                      <w:rFonts w:cs="Arial"/>
                      <w:sz w:val="17"/>
                    </w:rPr>
                    <w:t>5</w:t>
                  </w:r>
                </w:p>
              </w:tc>
              <w:tc>
                <w:tcPr>
                  <w:tcW w:w="447" w:type="pct"/>
                  <w:tcBorders>
                    <w:left w:val="nil"/>
                    <w:bottom w:val="nil"/>
                    <w:right w:val="nil"/>
                  </w:tcBorders>
                </w:tcPr>
                <w:p w14:paraId="0853B876" w14:textId="77777777" w:rsidR="00466311" w:rsidRPr="007F24DC" w:rsidRDefault="00466311" w:rsidP="001708C1">
                  <w:pPr>
                    <w:pStyle w:val="TableUnitsRow"/>
                    <w:rPr>
                      <w:rFonts w:cs="Arial"/>
                      <w:sz w:val="17"/>
                    </w:rPr>
                  </w:pPr>
                  <w:r>
                    <w:rPr>
                      <w:rFonts w:cs="Arial"/>
                      <w:sz w:val="17"/>
                    </w:rPr>
                    <w:t>5</w:t>
                  </w:r>
                </w:p>
              </w:tc>
              <w:tc>
                <w:tcPr>
                  <w:tcW w:w="447" w:type="pct"/>
                  <w:tcBorders>
                    <w:left w:val="nil"/>
                    <w:bottom w:val="nil"/>
                    <w:right w:val="nil"/>
                  </w:tcBorders>
                </w:tcPr>
                <w:p w14:paraId="0ED83C8E" w14:textId="072B556A" w:rsidR="00466311" w:rsidRPr="007F24DC" w:rsidRDefault="00466311" w:rsidP="001708C1">
                  <w:pPr>
                    <w:pStyle w:val="TableUnitsRow"/>
                    <w:rPr>
                      <w:rFonts w:cs="Arial"/>
                      <w:sz w:val="17"/>
                    </w:rPr>
                  </w:pPr>
                  <w:r>
                    <w:rPr>
                      <w:rFonts w:cs="Arial"/>
                      <w:sz w:val="17"/>
                    </w:rPr>
                    <w:t>1</w:t>
                  </w:r>
                  <w:r w:rsidR="008735A5">
                    <w:rPr>
                      <w:rFonts w:cs="Arial"/>
                      <w:sz w:val="17"/>
                    </w:rPr>
                    <w:noBreakHyphen/>
                  </w:r>
                  <w:r>
                    <w:rPr>
                      <w:rFonts w:cs="Arial"/>
                      <w:sz w:val="17"/>
                    </w:rPr>
                    <w:t>10</w:t>
                  </w:r>
                </w:p>
              </w:tc>
            </w:tr>
            <w:tr w:rsidR="00466311" w14:paraId="7FACE901" w14:textId="77777777" w:rsidTr="001708C1">
              <w:trPr>
                <w:tblHeader/>
              </w:trPr>
              <w:tc>
                <w:tcPr>
                  <w:tcW w:w="1423" w:type="pct"/>
                  <w:tcBorders>
                    <w:left w:val="nil"/>
                    <w:right w:val="nil"/>
                  </w:tcBorders>
                </w:tcPr>
                <w:p w14:paraId="157287BF" w14:textId="77777777" w:rsidR="00466311" w:rsidRPr="007F24DC" w:rsidRDefault="00466311" w:rsidP="001708C1">
                  <w:pPr>
                    <w:pStyle w:val="TableBullet"/>
                    <w:numPr>
                      <w:ilvl w:val="0"/>
                      <w:numId w:val="0"/>
                    </w:numPr>
                    <w:ind w:left="170" w:hanging="170"/>
                    <w:rPr>
                      <w:rFonts w:cs="Arial"/>
                      <w:sz w:val="17"/>
                      <w:szCs w:val="16"/>
                    </w:rPr>
                  </w:pPr>
                  <w:r w:rsidRPr="007F24DC">
                    <w:rPr>
                      <w:rFonts w:cs="Arial"/>
                      <w:b/>
                      <w:sz w:val="17"/>
                      <w:szCs w:val="18"/>
                    </w:rPr>
                    <w:t>Threshold capitalisation levels ($)</w:t>
                  </w:r>
                </w:p>
              </w:tc>
              <w:tc>
                <w:tcPr>
                  <w:tcW w:w="447" w:type="pct"/>
                  <w:tcBorders>
                    <w:left w:val="nil"/>
                    <w:right w:val="nil"/>
                  </w:tcBorders>
                </w:tcPr>
                <w:p w14:paraId="65CE5D4C" w14:textId="77777777" w:rsidR="00466311" w:rsidRPr="007F24DC" w:rsidRDefault="00466311" w:rsidP="001708C1">
                  <w:pPr>
                    <w:pStyle w:val="TableUnitsRow"/>
                    <w:rPr>
                      <w:rFonts w:cs="Arial"/>
                      <w:sz w:val="17"/>
                    </w:rPr>
                  </w:pPr>
                </w:p>
              </w:tc>
              <w:tc>
                <w:tcPr>
                  <w:tcW w:w="447" w:type="pct"/>
                  <w:tcBorders>
                    <w:left w:val="nil"/>
                    <w:right w:val="nil"/>
                  </w:tcBorders>
                </w:tcPr>
                <w:p w14:paraId="38DE29ED" w14:textId="77777777" w:rsidR="00466311" w:rsidRPr="007F24DC" w:rsidRDefault="00466311" w:rsidP="001708C1">
                  <w:pPr>
                    <w:pStyle w:val="TableUnitsRow"/>
                    <w:rPr>
                      <w:rFonts w:cs="Arial"/>
                      <w:sz w:val="17"/>
                    </w:rPr>
                  </w:pPr>
                </w:p>
              </w:tc>
              <w:tc>
                <w:tcPr>
                  <w:tcW w:w="447" w:type="pct"/>
                  <w:tcBorders>
                    <w:left w:val="nil"/>
                    <w:right w:val="nil"/>
                  </w:tcBorders>
                </w:tcPr>
                <w:p w14:paraId="3DFB4E40" w14:textId="77777777" w:rsidR="00466311" w:rsidRPr="007F24DC" w:rsidRDefault="00466311" w:rsidP="001708C1">
                  <w:pPr>
                    <w:pStyle w:val="TableUnitsRow"/>
                    <w:rPr>
                      <w:rFonts w:cs="Arial"/>
                      <w:sz w:val="17"/>
                    </w:rPr>
                  </w:pPr>
                </w:p>
              </w:tc>
              <w:tc>
                <w:tcPr>
                  <w:tcW w:w="447" w:type="pct"/>
                  <w:tcBorders>
                    <w:left w:val="nil"/>
                    <w:right w:val="nil"/>
                  </w:tcBorders>
                </w:tcPr>
                <w:p w14:paraId="6CF5CF54" w14:textId="77777777" w:rsidR="00466311" w:rsidRPr="007F24DC" w:rsidRDefault="00466311" w:rsidP="001708C1">
                  <w:pPr>
                    <w:pStyle w:val="TableUnitsRow"/>
                    <w:rPr>
                      <w:rFonts w:cs="Arial"/>
                      <w:sz w:val="17"/>
                    </w:rPr>
                  </w:pPr>
                </w:p>
              </w:tc>
              <w:tc>
                <w:tcPr>
                  <w:tcW w:w="447" w:type="pct"/>
                  <w:tcBorders>
                    <w:left w:val="nil"/>
                    <w:right w:val="nil"/>
                  </w:tcBorders>
                </w:tcPr>
                <w:p w14:paraId="2D1FC0CE" w14:textId="77777777" w:rsidR="00466311" w:rsidRPr="007F24DC" w:rsidRDefault="00466311" w:rsidP="001708C1">
                  <w:pPr>
                    <w:pStyle w:val="TableUnitsRow"/>
                    <w:rPr>
                      <w:rFonts w:cs="Arial"/>
                      <w:sz w:val="17"/>
                    </w:rPr>
                  </w:pPr>
                </w:p>
              </w:tc>
              <w:tc>
                <w:tcPr>
                  <w:tcW w:w="447" w:type="pct"/>
                  <w:tcBorders>
                    <w:left w:val="nil"/>
                    <w:bottom w:val="nil"/>
                    <w:right w:val="nil"/>
                  </w:tcBorders>
                </w:tcPr>
                <w:p w14:paraId="363458E8" w14:textId="77777777" w:rsidR="00466311" w:rsidRPr="007F24DC" w:rsidRDefault="00466311" w:rsidP="001708C1">
                  <w:pPr>
                    <w:pStyle w:val="TableUnitsRow"/>
                    <w:rPr>
                      <w:rFonts w:cs="Arial"/>
                      <w:sz w:val="17"/>
                    </w:rPr>
                  </w:pPr>
                </w:p>
              </w:tc>
              <w:tc>
                <w:tcPr>
                  <w:tcW w:w="447" w:type="pct"/>
                  <w:tcBorders>
                    <w:left w:val="nil"/>
                    <w:bottom w:val="nil"/>
                    <w:right w:val="nil"/>
                  </w:tcBorders>
                </w:tcPr>
                <w:p w14:paraId="11438D5B" w14:textId="77777777" w:rsidR="00466311" w:rsidRPr="007F24DC" w:rsidRDefault="00466311" w:rsidP="001708C1">
                  <w:pPr>
                    <w:pStyle w:val="TableUnitsRow"/>
                    <w:rPr>
                      <w:rFonts w:cs="Arial"/>
                      <w:sz w:val="17"/>
                    </w:rPr>
                  </w:pPr>
                </w:p>
              </w:tc>
              <w:tc>
                <w:tcPr>
                  <w:tcW w:w="447" w:type="pct"/>
                  <w:tcBorders>
                    <w:left w:val="nil"/>
                    <w:bottom w:val="nil"/>
                    <w:right w:val="nil"/>
                  </w:tcBorders>
                </w:tcPr>
                <w:p w14:paraId="6792A410" w14:textId="77777777" w:rsidR="00466311" w:rsidRPr="007F24DC" w:rsidRDefault="00466311" w:rsidP="001708C1">
                  <w:pPr>
                    <w:pStyle w:val="TableUnitsRow"/>
                    <w:rPr>
                      <w:rFonts w:cs="Arial"/>
                      <w:sz w:val="17"/>
                    </w:rPr>
                  </w:pPr>
                </w:p>
              </w:tc>
            </w:tr>
            <w:tr w:rsidR="00466311" w14:paraId="101C9BE2" w14:textId="77777777" w:rsidTr="001708C1">
              <w:trPr>
                <w:tblHeader/>
              </w:trPr>
              <w:tc>
                <w:tcPr>
                  <w:tcW w:w="1423" w:type="pct"/>
                  <w:tcBorders>
                    <w:top w:val="nil"/>
                    <w:left w:val="nil"/>
                    <w:bottom w:val="nil"/>
                    <w:right w:val="nil"/>
                  </w:tcBorders>
                  <w:shd w:val="clear" w:color="auto" w:fill="auto"/>
                </w:tcPr>
                <w:p w14:paraId="2773BA7C" w14:textId="77777777" w:rsidR="00466311" w:rsidRPr="007F24DC" w:rsidRDefault="00466311" w:rsidP="001708C1">
                  <w:pPr>
                    <w:pStyle w:val="TableBullet"/>
                    <w:rPr>
                      <w:rFonts w:cs="Arial"/>
                      <w:sz w:val="17"/>
                      <w:szCs w:val="16"/>
                    </w:rPr>
                  </w:pPr>
                  <w:r w:rsidRPr="007F24DC">
                    <w:rPr>
                      <w:rFonts w:cs="Arial"/>
                      <w:sz w:val="17"/>
                    </w:rPr>
                    <w:t>Buildings</w:t>
                  </w:r>
                </w:p>
              </w:tc>
              <w:tc>
                <w:tcPr>
                  <w:tcW w:w="447" w:type="pct"/>
                  <w:tcBorders>
                    <w:top w:val="nil"/>
                    <w:left w:val="nil"/>
                    <w:bottom w:val="nil"/>
                    <w:right w:val="nil"/>
                  </w:tcBorders>
                  <w:shd w:val="clear" w:color="auto" w:fill="auto"/>
                </w:tcPr>
                <w:p w14:paraId="1DC5E8E9" w14:textId="77777777" w:rsidR="00466311" w:rsidRPr="00EB631B" w:rsidRDefault="00466311" w:rsidP="001708C1">
                  <w:pPr>
                    <w:pStyle w:val="TableUnitsRow"/>
                    <w:rPr>
                      <w:rFonts w:cs="Arial"/>
                      <w:sz w:val="17"/>
                    </w:rPr>
                  </w:pPr>
                  <w:r w:rsidRPr="00EB631B">
                    <w:rPr>
                      <w:rFonts w:cs="Arial"/>
                      <w:sz w:val="17"/>
                    </w:rPr>
                    <w:t>5 000</w:t>
                  </w:r>
                </w:p>
              </w:tc>
              <w:tc>
                <w:tcPr>
                  <w:tcW w:w="447" w:type="pct"/>
                  <w:tcBorders>
                    <w:top w:val="nil"/>
                    <w:left w:val="nil"/>
                    <w:bottom w:val="nil"/>
                    <w:right w:val="nil"/>
                  </w:tcBorders>
                  <w:shd w:val="clear" w:color="auto" w:fill="auto"/>
                </w:tcPr>
                <w:p w14:paraId="4C84FF85" w14:textId="77777777" w:rsidR="00466311" w:rsidRPr="00EB631B" w:rsidRDefault="00466311" w:rsidP="001708C1">
                  <w:pPr>
                    <w:pStyle w:val="TableUnitsRow"/>
                    <w:rPr>
                      <w:rFonts w:cs="Arial"/>
                      <w:sz w:val="17"/>
                    </w:rPr>
                  </w:pPr>
                  <w:r w:rsidRPr="00EB631B">
                    <w:rPr>
                      <w:rFonts w:cs="Arial"/>
                      <w:sz w:val="17"/>
                    </w:rPr>
                    <w:t>5 000</w:t>
                  </w:r>
                </w:p>
              </w:tc>
              <w:tc>
                <w:tcPr>
                  <w:tcW w:w="447" w:type="pct"/>
                  <w:tcBorders>
                    <w:top w:val="nil"/>
                    <w:left w:val="nil"/>
                    <w:bottom w:val="nil"/>
                    <w:right w:val="nil"/>
                  </w:tcBorders>
                  <w:shd w:val="clear" w:color="auto" w:fill="auto"/>
                </w:tcPr>
                <w:p w14:paraId="254B7918" w14:textId="77777777" w:rsidR="00466311" w:rsidRPr="00EB631B" w:rsidRDefault="00466311" w:rsidP="001708C1">
                  <w:pPr>
                    <w:pStyle w:val="TableUnitsRow"/>
                    <w:rPr>
                      <w:rFonts w:cs="Arial"/>
                      <w:sz w:val="17"/>
                    </w:rPr>
                  </w:pPr>
                  <w:r w:rsidRPr="00EB631B">
                    <w:rPr>
                      <w:rFonts w:cs="Arial"/>
                      <w:sz w:val="17"/>
                    </w:rPr>
                    <w:t>10 000</w:t>
                  </w:r>
                </w:p>
              </w:tc>
              <w:tc>
                <w:tcPr>
                  <w:tcW w:w="447" w:type="pct"/>
                  <w:tcBorders>
                    <w:top w:val="nil"/>
                    <w:left w:val="nil"/>
                    <w:bottom w:val="nil"/>
                    <w:right w:val="nil"/>
                  </w:tcBorders>
                  <w:shd w:val="clear" w:color="auto" w:fill="auto"/>
                </w:tcPr>
                <w:p w14:paraId="5B715726" w14:textId="77777777" w:rsidR="00466311" w:rsidRPr="00EB631B" w:rsidRDefault="00466311" w:rsidP="001708C1">
                  <w:pPr>
                    <w:pStyle w:val="TableUnitsRow"/>
                    <w:rPr>
                      <w:rFonts w:cs="Arial"/>
                      <w:sz w:val="17"/>
                    </w:rPr>
                  </w:pPr>
                  <w:r w:rsidRPr="00EB631B">
                    <w:rPr>
                      <w:rFonts w:cs="Arial"/>
                      <w:sz w:val="17"/>
                    </w:rPr>
                    <w:t xml:space="preserve"> 5 000</w:t>
                  </w:r>
                </w:p>
              </w:tc>
              <w:tc>
                <w:tcPr>
                  <w:tcW w:w="447" w:type="pct"/>
                  <w:tcBorders>
                    <w:top w:val="nil"/>
                    <w:left w:val="nil"/>
                    <w:bottom w:val="nil"/>
                    <w:right w:val="nil"/>
                  </w:tcBorders>
                  <w:shd w:val="clear" w:color="auto" w:fill="auto"/>
                </w:tcPr>
                <w:p w14:paraId="262926F2" w14:textId="77777777" w:rsidR="00466311" w:rsidRPr="00EB631B" w:rsidRDefault="00466311" w:rsidP="001708C1">
                  <w:pPr>
                    <w:pStyle w:val="TableUnitsRow"/>
                    <w:rPr>
                      <w:rFonts w:cs="Arial"/>
                      <w:sz w:val="17"/>
                    </w:rPr>
                  </w:pPr>
                  <w:r w:rsidRPr="00EB631B">
                    <w:rPr>
                      <w:rFonts w:cs="Arial"/>
                      <w:sz w:val="17"/>
                    </w:rPr>
                    <w:t>10 000</w:t>
                  </w:r>
                </w:p>
              </w:tc>
              <w:tc>
                <w:tcPr>
                  <w:tcW w:w="447" w:type="pct"/>
                  <w:tcBorders>
                    <w:top w:val="nil"/>
                    <w:left w:val="nil"/>
                    <w:bottom w:val="nil"/>
                    <w:right w:val="nil"/>
                  </w:tcBorders>
                  <w:shd w:val="clear" w:color="auto" w:fill="auto"/>
                </w:tcPr>
                <w:p w14:paraId="13C7D919" w14:textId="77777777" w:rsidR="00466311" w:rsidRPr="00EB631B" w:rsidRDefault="00466311" w:rsidP="001708C1">
                  <w:pPr>
                    <w:pStyle w:val="TableUnitsRow"/>
                    <w:rPr>
                      <w:rFonts w:cs="Arial"/>
                      <w:sz w:val="17"/>
                    </w:rPr>
                  </w:pPr>
                  <w:r w:rsidRPr="00EB631B">
                    <w:rPr>
                      <w:rFonts w:cs="Arial"/>
                      <w:sz w:val="17"/>
                    </w:rPr>
                    <w:t xml:space="preserve"> 50 000</w:t>
                  </w:r>
                </w:p>
              </w:tc>
              <w:tc>
                <w:tcPr>
                  <w:tcW w:w="447" w:type="pct"/>
                  <w:tcBorders>
                    <w:top w:val="nil"/>
                    <w:left w:val="nil"/>
                    <w:bottom w:val="nil"/>
                    <w:right w:val="nil"/>
                  </w:tcBorders>
                  <w:shd w:val="clear" w:color="auto" w:fill="auto"/>
                </w:tcPr>
                <w:p w14:paraId="74E05CFC" w14:textId="77777777" w:rsidR="00466311" w:rsidRPr="00EB631B" w:rsidRDefault="00466311" w:rsidP="001708C1">
                  <w:pPr>
                    <w:pStyle w:val="TableUnitsRow"/>
                    <w:rPr>
                      <w:rFonts w:cs="Arial"/>
                      <w:sz w:val="17"/>
                    </w:rPr>
                  </w:pPr>
                  <w:r w:rsidRPr="00EB631B">
                    <w:rPr>
                      <w:rFonts w:cs="Arial"/>
                      <w:sz w:val="17"/>
                    </w:rPr>
                    <w:t>na</w:t>
                  </w:r>
                </w:p>
              </w:tc>
              <w:tc>
                <w:tcPr>
                  <w:tcW w:w="447" w:type="pct"/>
                  <w:tcBorders>
                    <w:top w:val="nil"/>
                    <w:left w:val="nil"/>
                    <w:bottom w:val="nil"/>
                    <w:right w:val="nil"/>
                  </w:tcBorders>
                  <w:shd w:val="clear" w:color="auto" w:fill="auto"/>
                </w:tcPr>
                <w:p w14:paraId="5E5C25A2" w14:textId="77777777" w:rsidR="00466311" w:rsidRPr="00EB631B" w:rsidRDefault="00466311" w:rsidP="001708C1">
                  <w:pPr>
                    <w:pStyle w:val="TableUnitsRow"/>
                    <w:rPr>
                      <w:rFonts w:cs="Arial"/>
                      <w:sz w:val="17"/>
                    </w:rPr>
                  </w:pPr>
                  <w:r w:rsidRPr="00EB631B">
                    <w:rPr>
                      <w:rFonts w:cs="Arial"/>
                      <w:sz w:val="17"/>
                    </w:rPr>
                    <w:t>5 000</w:t>
                  </w:r>
                </w:p>
              </w:tc>
            </w:tr>
            <w:tr w:rsidR="00466311" w14:paraId="7F470701" w14:textId="77777777" w:rsidTr="001708C1">
              <w:trPr>
                <w:tblHeader/>
              </w:trPr>
              <w:tc>
                <w:tcPr>
                  <w:tcW w:w="1423" w:type="pct"/>
                  <w:tcBorders>
                    <w:top w:val="nil"/>
                    <w:left w:val="nil"/>
                    <w:right w:val="nil"/>
                  </w:tcBorders>
                  <w:shd w:val="clear" w:color="auto" w:fill="auto"/>
                </w:tcPr>
                <w:p w14:paraId="3494F363" w14:textId="77777777" w:rsidR="00466311" w:rsidRPr="007F24DC" w:rsidRDefault="00466311" w:rsidP="001708C1">
                  <w:pPr>
                    <w:pStyle w:val="TableBullet"/>
                    <w:rPr>
                      <w:rFonts w:cs="Arial"/>
                      <w:sz w:val="17"/>
                    </w:rPr>
                  </w:pPr>
                  <w:r>
                    <w:rPr>
                      <w:rFonts w:cs="Arial"/>
                      <w:sz w:val="17"/>
                    </w:rPr>
                    <w:t>IT equipment</w:t>
                  </w:r>
                </w:p>
              </w:tc>
              <w:tc>
                <w:tcPr>
                  <w:tcW w:w="447" w:type="pct"/>
                  <w:tcBorders>
                    <w:top w:val="nil"/>
                    <w:left w:val="nil"/>
                    <w:right w:val="nil"/>
                  </w:tcBorders>
                  <w:shd w:val="clear" w:color="auto" w:fill="auto"/>
                </w:tcPr>
                <w:p w14:paraId="5149DEFA" w14:textId="77777777" w:rsidR="00466311" w:rsidRPr="00EB631B" w:rsidRDefault="00466311" w:rsidP="001708C1">
                  <w:pPr>
                    <w:pStyle w:val="TableUnitsRow"/>
                    <w:rPr>
                      <w:rFonts w:cs="Arial"/>
                      <w:sz w:val="17"/>
                      <w:szCs w:val="16"/>
                    </w:rPr>
                  </w:pPr>
                  <w:r w:rsidRPr="00EB631B">
                    <w:rPr>
                      <w:rFonts w:cs="Arial"/>
                      <w:sz w:val="17"/>
                    </w:rPr>
                    <w:t>–</w:t>
                  </w:r>
                </w:p>
              </w:tc>
              <w:tc>
                <w:tcPr>
                  <w:tcW w:w="447" w:type="pct"/>
                  <w:tcBorders>
                    <w:top w:val="nil"/>
                    <w:left w:val="nil"/>
                    <w:right w:val="nil"/>
                  </w:tcBorders>
                  <w:shd w:val="clear" w:color="auto" w:fill="auto"/>
                </w:tcPr>
                <w:p w14:paraId="19FBF7A3" w14:textId="77777777" w:rsidR="00466311" w:rsidRPr="00EB631B" w:rsidRDefault="00466311" w:rsidP="001708C1">
                  <w:pPr>
                    <w:pStyle w:val="TableUnitsRow"/>
                    <w:rPr>
                      <w:rFonts w:cs="Arial"/>
                      <w:sz w:val="17"/>
                      <w:szCs w:val="16"/>
                    </w:rPr>
                  </w:pPr>
                  <w:r w:rsidRPr="00EB631B">
                    <w:rPr>
                      <w:rFonts w:cs="Arial"/>
                      <w:sz w:val="17"/>
                    </w:rPr>
                    <w:t>5 000</w:t>
                  </w:r>
                </w:p>
              </w:tc>
              <w:tc>
                <w:tcPr>
                  <w:tcW w:w="447" w:type="pct"/>
                  <w:tcBorders>
                    <w:top w:val="nil"/>
                    <w:left w:val="nil"/>
                    <w:right w:val="nil"/>
                  </w:tcBorders>
                  <w:shd w:val="clear" w:color="auto" w:fill="auto"/>
                </w:tcPr>
                <w:p w14:paraId="7257E162" w14:textId="77777777" w:rsidR="00466311" w:rsidRPr="00EB631B" w:rsidRDefault="00466311" w:rsidP="001708C1">
                  <w:pPr>
                    <w:pStyle w:val="TableUnitsRow"/>
                    <w:rPr>
                      <w:rFonts w:cs="Arial"/>
                      <w:sz w:val="17"/>
                      <w:szCs w:val="16"/>
                    </w:rPr>
                  </w:pPr>
                  <w:r w:rsidRPr="00EB631B">
                    <w:rPr>
                      <w:rFonts w:cs="Arial"/>
                      <w:sz w:val="17"/>
                    </w:rPr>
                    <w:t>5 000</w:t>
                  </w:r>
                </w:p>
              </w:tc>
              <w:tc>
                <w:tcPr>
                  <w:tcW w:w="447" w:type="pct"/>
                  <w:tcBorders>
                    <w:top w:val="nil"/>
                    <w:left w:val="nil"/>
                    <w:right w:val="nil"/>
                  </w:tcBorders>
                  <w:shd w:val="clear" w:color="auto" w:fill="auto"/>
                </w:tcPr>
                <w:p w14:paraId="306E5D25" w14:textId="77777777" w:rsidR="00466311" w:rsidRPr="00EB631B" w:rsidRDefault="00466311" w:rsidP="001708C1">
                  <w:pPr>
                    <w:pStyle w:val="TableUnitsRow"/>
                    <w:rPr>
                      <w:rFonts w:cs="Arial"/>
                      <w:sz w:val="17"/>
                      <w:szCs w:val="16"/>
                    </w:rPr>
                  </w:pPr>
                  <w:r w:rsidRPr="00EB631B">
                    <w:rPr>
                      <w:rFonts w:cs="Arial"/>
                      <w:sz w:val="17"/>
                    </w:rPr>
                    <w:t xml:space="preserve"> 5 000</w:t>
                  </w:r>
                </w:p>
              </w:tc>
              <w:tc>
                <w:tcPr>
                  <w:tcW w:w="447" w:type="pct"/>
                  <w:tcBorders>
                    <w:top w:val="nil"/>
                    <w:left w:val="nil"/>
                    <w:right w:val="nil"/>
                  </w:tcBorders>
                  <w:shd w:val="clear" w:color="auto" w:fill="auto"/>
                </w:tcPr>
                <w:p w14:paraId="14F827B1" w14:textId="77777777" w:rsidR="00466311" w:rsidRPr="00EB631B" w:rsidRDefault="00466311" w:rsidP="001708C1">
                  <w:pPr>
                    <w:pStyle w:val="TableUnitsRow"/>
                    <w:rPr>
                      <w:rFonts w:cs="Arial"/>
                      <w:sz w:val="17"/>
                      <w:szCs w:val="16"/>
                    </w:rPr>
                  </w:pPr>
                  <w:r w:rsidRPr="00EB631B">
                    <w:rPr>
                      <w:rFonts w:cs="Arial"/>
                      <w:sz w:val="17"/>
                    </w:rPr>
                    <w:t>10 000</w:t>
                  </w:r>
                </w:p>
              </w:tc>
              <w:tc>
                <w:tcPr>
                  <w:tcW w:w="447" w:type="pct"/>
                  <w:tcBorders>
                    <w:top w:val="nil"/>
                    <w:left w:val="nil"/>
                    <w:right w:val="nil"/>
                  </w:tcBorders>
                  <w:shd w:val="clear" w:color="auto" w:fill="auto"/>
                </w:tcPr>
                <w:p w14:paraId="0F175D36" w14:textId="77777777" w:rsidR="00466311" w:rsidRPr="00EB631B" w:rsidRDefault="00466311" w:rsidP="001708C1">
                  <w:pPr>
                    <w:pStyle w:val="TableUnitsRow"/>
                    <w:rPr>
                      <w:rFonts w:cs="Arial"/>
                      <w:sz w:val="17"/>
                      <w:szCs w:val="16"/>
                    </w:rPr>
                  </w:pPr>
                  <w:r w:rsidRPr="00EB631B">
                    <w:rPr>
                      <w:rFonts w:cs="Arial"/>
                      <w:sz w:val="17"/>
                    </w:rPr>
                    <w:t xml:space="preserve"> 10 000</w:t>
                  </w:r>
                </w:p>
              </w:tc>
              <w:tc>
                <w:tcPr>
                  <w:tcW w:w="447" w:type="pct"/>
                  <w:tcBorders>
                    <w:top w:val="nil"/>
                    <w:left w:val="nil"/>
                    <w:right w:val="nil"/>
                  </w:tcBorders>
                  <w:shd w:val="clear" w:color="auto" w:fill="auto"/>
                </w:tcPr>
                <w:p w14:paraId="0E5FA508" w14:textId="04BA0033" w:rsidR="00466311" w:rsidRPr="00EB631B" w:rsidRDefault="00466311" w:rsidP="001708C1">
                  <w:pPr>
                    <w:pStyle w:val="TableUnitsRow"/>
                    <w:rPr>
                      <w:rFonts w:cs="Arial"/>
                      <w:sz w:val="17"/>
                      <w:szCs w:val="16"/>
                    </w:rPr>
                  </w:pPr>
                  <w:r w:rsidRPr="00EB631B">
                    <w:rPr>
                      <w:rFonts w:cs="Arial"/>
                      <w:sz w:val="17"/>
                    </w:rPr>
                    <w:t>2 000</w:t>
                  </w:r>
                </w:p>
              </w:tc>
              <w:tc>
                <w:tcPr>
                  <w:tcW w:w="447" w:type="pct"/>
                  <w:tcBorders>
                    <w:top w:val="nil"/>
                    <w:left w:val="nil"/>
                    <w:right w:val="nil"/>
                  </w:tcBorders>
                  <w:shd w:val="clear" w:color="auto" w:fill="auto"/>
                </w:tcPr>
                <w:p w14:paraId="064AD12B" w14:textId="77777777" w:rsidR="00466311" w:rsidRPr="00EB631B" w:rsidRDefault="00466311" w:rsidP="001708C1">
                  <w:pPr>
                    <w:pStyle w:val="TableUnitsRow"/>
                    <w:rPr>
                      <w:rFonts w:cs="Arial"/>
                      <w:sz w:val="17"/>
                      <w:szCs w:val="16"/>
                    </w:rPr>
                  </w:pPr>
                  <w:r w:rsidRPr="00EB631B">
                    <w:rPr>
                      <w:rFonts w:cs="Arial"/>
                      <w:sz w:val="17"/>
                    </w:rPr>
                    <w:t>5 000</w:t>
                  </w:r>
                </w:p>
              </w:tc>
            </w:tr>
            <w:tr w:rsidR="00466311" w14:paraId="220628F5" w14:textId="77777777" w:rsidTr="001708C1">
              <w:trPr>
                <w:tblHeader/>
              </w:trPr>
              <w:tc>
                <w:tcPr>
                  <w:tcW w:w="1423" w:type="pct"/>
                  <w:tcBorders>
                    <w:top w:val="nil"/>
                    <w:left w:val="nil"/>
                    <w:right w:val="nil"/>
                  </w:tcBorders>
                  <w:shd w:val="clear" w:color="auto" w:fill="auto"/>
                </w:tcPr>
                <w:p w14:paraId="62E4ADE4" w14:textId="77777777" w:rsidR="00466311" w:rsidRDefault="00466311" w:rsidP="001708C1">
                  <w:pPr>
                    <w:pStyle w:val="TableBullet"/>
                    <w:rPr>
                      <w:rFonts w:cs="Arial"/>
                      <w:sz w:val="17"/>
                    </w:rPr>
                  </w:pPr>
                  <w:r>
                    <w:rPr>
                      <w:rFonts w:cs="Arial"/>
                      <w:sz w:val="17"/>
                    </w:rPr>
                    <w:t>Other assets</w:t>
                  </w:r>
                </w:p>
              </w:tc>
              <w:tc>
                <w:tcPr>
                  <w:tcW w:w="447" w:type="pct"/>
                </w:tcPr>
                <w:p w14:paraId="79EFFFD5" w14:textId="77777777" w:rsidR="00466311" w:rsidRPr="00EB631B" w:rsidRDefault="00466311" w:rsidP="001708C1">
                  <w:pPr>
                    <w:pStyle w:val="TableUnitsRow"/>
                    <w:rPr>
                      <w:rFonts w:cs="Arial"/>
                      <w:sz w:val="17"/>
                    </w:rPr>
                  </w:pPr>
                  <w:r w:rsidRPr="00EB631B">
                    <w:rPr>
                      <w:rFonts w:cs="Arial"/>
                      <w:sz w:val="17"/>
                      <w:szCs w:val="16"/>
                    </w:rPr>
                    <w:t>5 000</w:t>
                  </w:r>
                </w:p>
              </w:tc>
              <w:tc>
                <w:tcPr>
                  <w:tcW w:w="447" w:type="pct"/>
                </w:tcPr>
                <w:p w14:paraId="07367FD3" w14:textId="77777777" w:rsidR="00466311" w:rsidRPr="00EB631B" w:rsidRDefault="00466311" w:rsidP="001708C1">
                  <w:pPr>
                    <w:pStyle w:val="TableUnitsRow"/>
                    <w:rPr>
                      <w:rFonts w:cs="Arial"/>
                      <w:sz w:val="17"/>
                    </w:rPr>
                  </w:pPr>
                  <w:r w:rsidRPr="00EB631B">
                    <w:rPr>
                      <w:rFonts w:cs="Arial"/>
                      <w:sz w:val="17"/>
                      <w:szCs w:val="16"/>
                    </w:rPr>
                    <w:t>5 000</w:t>
                  </w:r>
                </w:p>
              </w:tc>
              <w:tc>
                <w:tcPr>
                  <w:tcW w:w="447" w:type="pct"/>
                </w:tcPr>
                <w:p w14:paraId="50D2756D" w14:textId="77777777" w:rsidR="00466311" w:rsidRPr="00EB631B" w:rsidRDefault="00466311" w:rsidP="001708C1">
                  <w:pPr>
                    <w:pStyle w:val="TableUnitsRow"/>
                    <w:rPr>
                      <w:rFonts w:cs="Arial"/>
                      <w:sz w:val="17"/>
                    </w:rPr>
                  </w:pPr>
                  <w:r w:rsidRPr="00EB631B">
                    <w:rPr>
                      <w:rFonts w:cs="Arial"/>
                      <w:sz w:val="17"/>
                      <w:szCs w:val="16"/>
                    </w:rPr>
                    <w:t>5 000</w:t>
                  </w:r>
                </w:p>
              </w:tc>
              <w:tc>
                <w:tcPr>
                  <w:tcW w:w="447" w:type="pct"/>
                </w:tcPr>
                <w:p w14:paraId="34EFC425" w14:textId="77777777" w:rsidR="00466311" w:rsidRPr="00EB631B" w:rsidRDefault="00466311" w:rsidP="001708C1">
                  <w:pPr>
                    <w:pStyle w:val="TableUnitsRow"/>
                    <w:rPr>
                      <w:rFonts w:cs="Arial"/>
                      <w:sz w:val="17"/>
                    </w:rPr>
                  </w:pPr>
                  <w:r w:rsidRPr="00EB631B">
                    <w:rPr>
                      <w:rFonts w:cs="Arial"/>
                      <w:sz w:val="17"/>
                      <w:szCs w:val="16"/>
                    </w:rPr>
                    <w:t>5 000</w:t>
                  </w:r>
                </w:p>
              </w:tc>
              <w:tc>
                <w:tcPr>
                  <w:tcW w:w="447" w:type="pct"/>
                </w:tcPr>
                <w:p w14:paraId="6D448858" w14:textId="77777777" w:rsidR="00466311" w:rsidRPr="00EB631B" w:rsidRDefault="00466311" w:rsidP="001708C1">
                  <w:pPr>
                    <w:pStyle w:val="TableUnitsRow"/>
                    <w:rPr>
                      <w:rFonts w:cs="Arial"/>
                      <w:sz w:val="17"/>
                    </w:rPr>
                  </w:pPr>
                  <w:r w:rsidRPr="00EB631B">
                    <w:rPr>
                      <w:rFonts w:cs="Arial"/>
                      <w:sz w:val="17"/>
                      <w:szCs w:val="16"/>
                    </w:rPr>
                    <w:t>10 000</w:t>
                  </w:r>
                </w:p>
              </w:tc>
              <w:tc>
                <w:tcPr>
                  <w:tcW w:w="447" w:type="pct"/>
                </w:tcPr>
                <w:p w14:paraId="792F8E0D" w14:textId="77777777" w:rsidR="00466311" w:rsidRPr="00EB631B" w:rsidRDefault="00466311" w:rsidP="001708C1">
                  <w:pPr>
                    <w:pStyle w:val="TableUnitsRow"/>
                    <w:rPr>
                      <w:rFonts w:cs="Arial"/>
                      <w:sz w:val="17"/>
                    </w:rPr>
                  </w:pPr>
                  <w:r w:rsidRPr="00EB631B">
                    <w:rPr>
                      <w:rFonts w:cs="Arial"/>
                      <w:sz w:val="17"/>
                      <w:szCs w:val="16"/>
                    </w:rPr>
                    <w:t>10 000</w:t>
                  </w:r>
                </w:p>
              </w:tc>
              <w:tc>
                <w:tcPr>
                  <w:tcW w:w="447" w:type="pct"/>
                </w:tcPr>
                <w:p w14:paraId="3069931E" w14:textId="77777777" w:rsidR="00466311" w:rsidRPr="00EB631B" w:rsidRDefault="00466311" w:rsidP="001708C1">
                  <w:pPr>
                    <w:pStyle w:val="TableUnitsRow"/>
                    <w:rPr>
                      <w:rFonts w:cs="Arial"/>
                      <w:sz w:val="17"/>
                    </w:rPr>
                  </w:pPr>
                  <w:r w:rsidRPr="00EB631B">
                    <w:rPr>
                      <w:rFonts w:cs="Arial"/>
                      <w:sz w:val="17"/>
                      <w:szCs w:val="16"/>
                    </w:rPr>
                    <w:t>2 000</w:t>
                  </w:r>
                </w:p>
              </w:tc>
              <w:tc>
                <w:tcPr>
                  <w:tcW w:w="447" w:type="pct"/>
                </w:tcPr>
                <w:p w14:paraId="5D3DAC41" w14:textId="77777777" w:rsidR="00466311" w:rsidRPr="00EB631B" w:rsidRDefault="00466311" w:rsidP="001708C1">
                  <w:pPr>
                    <w:pStyle w:val="TableUnitsRow"/>
                    <w:rPr>
                      <w:rFonts w:cs="Arial"/>
                      <w:sz w:val="17"/>
                    </w:rPr>
                  </w:pPr>
                  <w:r w:rsidRPr="00EB631B">
                    <w:rPr>
                      <w:rFonts w:cs="Arial"/>
                      <w:sz w:val="17"/>
                      <w:szCs w:val="16"/>
                    </w:rPr>
                    <w:t>5 000</w:t>
                  </w:r>
                </w:p>
              </w:tc>
            </w:tr>
            <w:tr w:rsidR="00466311" w14:paraId="7C20CA33" w14:textId="77777777" w:rsidTr="001708C1">
              <w:trPr>
                <w:tblHeader/>
              </w:trPr>
              <w:tc>
                <w:tcPr>
                  <w:tcW w:w="1423" w:type="pct"/>
                  <w:tcBorders>
                    <w:left w:val="nil"/>
                    <w:bottom w:val="nil"/>
                    <w:right w:val="nil"/>
                  </w:tcBorders>
                </w:tcPr>
                <w:p w14:paraId="615E15B2" w14:textId="700332FD" w:rsidR="00466311" w:rsidRDefault="00466311" w:rsidP="001708C1">
                  <w:pPr>
                    <w:pStyle w:val="TableBullet"/>
                    <w:numPr>
                      <w:ilvl w:val="0"/>
                      <w:numId w:val="0"/>
                    </w:numPr>
                    <w:ind w:left="170" w:hanging="170"/>
                    <w:jc w:val="both"/>
                    <w:rPr>
                      <w:rFonts w:cs="Arial"/>
                      <w:sz w:val="17"/>
                    </w:rPr>
                  </w:pPr>
                  <w:r>
                    <w:rPr>
                      <w:rFonts w:cs="Arial"/>
                      <w:b/>
                      <w:sz w:val="17"/>
                      <w:szCs w:val="18"/>
                    </w:rPr>
                    <w:t>Current asset value as at 30</w:t>
                  </w:r>
                  <w:r w:rsidR="008735A5">
                    <w:rPr>
                      <w:rFonts w:cs="Arial"/>
                      <w:b/>
                      <w:sz w:val="17"/>
                      <w:szCs w:val="18"/>
                    </w:rPr>
                    <w:t> </w:t>
                  </w:r>
                  <w:r>
                    <w:rPr>
                      <w:rFonts w:cs="Arial"/>
                      <w:b/>
                      <w:sz w:val="17"/>
                      <w:szCs w:val="18"/>
                    </w:rPr>
                    <w:t>June 20</w:t>
                  </w:r>
                  <w:r w:rsidR="00510790">
                    <w:rPr>
                      <w:rFonts w:cs="Arial"/>
                      <w:b/>
                      <w:sz w:val="17"/>
                      <w:szCs w:val="18"/>
                    </w:rPr>
                    <w:t>2</w:t>
                  </w:r>
                  <w:r w:rsidR="00BB3ECC">
                    <w:rPr>
                      <w:rFonts w:cs="Arial"/>
                      <w:b/>
                      <w:sz w:val="17"/>
                      <w:szCs w:val="18"/>
                    </w:rPr>
                    <w:t>1</w:t>
                  </w:r>
                  <w:r>
                    <w:rPr>
                      <w:rFonts w:cs="Arial"/>
                      <w:b/>
                      <w:sz w:val="17"/>
                      <w:szCs w:val="18"/>
                    </w:rPr>
                    <w:t xml:space="preserve"> ($’000)</w:t>
                  </w:r>
                </w:p>
              </w:tc>
              <w:tc>
                <w:tcPr>
                  <w:tcW w:w="447" w:type="pct"/>
                  <w:tcBorders>
                    <w:left w:val="nil"/>
                    <w:right w:val="nil"/>
                  </w:tcBorders>
                </w:tcPr>
                <w:p w14:paraId="71732D92" w14:textId="77777777" w:rsidR="00466311" w:rsidRPr="00EB631B" w:rsidRDefault="00466311" w:rsidP="001708C1">
                  <w:pPr>
                    <w:pStyle w:val="TableUnitsRow"/>
                    <w:rPr>
                      <w:rFonts w:cs="Arial"/>
                      <w:sz w:val="17"/>
                    </w:rPr>
                  </w:pPr>
                </w:p>
              </w:tc>
              <w:tc>
                <w:tcPr>
                  <w:tcW w:w="447" w:type="pct"/>
                  <w:tcBorders>
                    <w:left w:val="nil"/>
                    <w:right w:val="nil"/>
                  </w:tcBorders>
                </w:tcPr>
                <w:p w14:paraId="6AA8270F" w14:textId="77777777" w:rsidR="00466311" w:rsidRPr="00EB631B" w:rsidRDefault="00466311" w:rsidP="001708C1">
                  <w:pPr>
                    <w:pStyle w:val="TableUnitsRow"/>
                    <w:rPr>
                      <w:rFonts w:cs="Arial"/>
                      <w:sz w:val="17"/>
                    </w:rPr>
                  </w:pPr>
                </w:p>
              </w:tc>
              <w:tc>
                <w:tcPr>
                  <w:tcW w:w="447" w:type="pct"/>
                  <w:tcBorders>
                    <w:left w:val="nil"/>
                    <w:right w:val="nil"/>
                  </w:tcBorders>
                </w:tcPr>
                <w:p w14:paraId="4FEF4F61" w14:textId="77777777" w:rsidR="00466311" w:rsidRPr="00EB631B" w:rsidRDefault="00466311" w:rsidP="001708C1">
                  <w:pPr>
                    <w:pStyle w:val="TableUnitsRow"/>
                    <w:rPr>
                      <w:rFonts w:cs="Arial"/>
                      <w:sz w:val="17"/>
                    </w:rPr>
                  </w:pPr>
                </w:p>
              </w:tc>
              <w:tc>
                <w:tcPr>
                  <w:tcW w:w="447" w:type="pct"/>
                  <w:tcBorders>
                    <w:left w:val="nil"/>
                    <w:right w:val="nil"/>
                  </w:tcBorders>
                </w:tcPr>
                <w:p w14:paraId="2AC5096B" w14:textId="77777777" w:rsidR="00466311" w:rsidRPr="00EB631B" w:rsidRDefault="00466311" w:rsidP="001708C1">
                  <w:pPr>
                    <w:pStyle w:val="TableUnitsRow"/>
                    <w:rPr>
                      <w:rFonts w:cs="Arial"/>
                      <w:sz w:val="17"/>
                    </w:rPr>
                  </w:pPr>
                </w:p>
              </w:tc>
              <w:tc>
                <w:tcPr>
                  <w:tcW w:w="447" w:type="pct"/>
                  <w:tcBorders>
                    <w:left w:val="nil"/>
                    <w:right w:val="nil"/>
                  </w:tcBorders>
                </w:tcPr>
                <w:p w14:paraId="640704CB" w14:textId="77777777" w:rsidR="00466311" w:rsidRPr="00EB631B" w:rsidRDefault="00466311" w:rsidP="001708C1">
                  <w:pPr>
                    <w:pStyle w:val="TableUnitsRow"/>
                    <w:rPr>
                      <w:rFonts w:cs="Arial"/>
                      <w:sz w:val="17"/>
                    </w:rPr>
                  </w:pPr>
                </w:p>
              </w:tc>
              <w:tc>
                <w:tcPr>
                  <w:tcW w:w="447" w:type="pct"/>
                  <w:tcBorders>
                    <w:left w:val="nil"/>
                    <w:right w:val="nil"/>
                  </w:tcBorders>
                </w:tcPr>
                <w:p w14:paraId="7C4FBF0D" w14:textId="77777777" w:rsidR="00466311" w:rsidRPr="00EB631B" w:rsidRDefault="00466311" w:rsidP="001708C1">
                  <w:pPr>
                    <w:pStyle w:val="TableUnitsRow"/>
                    <w:rPr>
                      <w:rFonts w:cs="Arial"/>
                      <w:sz w:val="17"/>
                    </w:rPr>
                  </w:pPr>
                </w:p>
              </w:tc>
              <w:tc>
                <w:tcPr>
                  <w:tcW w:w="447" w:type="pct"/>
                  <w:tcBorders>
                    <w:left w:val="nil"/>
                    <w:right w:val="nil"/>
                  </w:tcBorders>
                </w:tcPr>
                <w:p w14:paraId="1A6157BA" w14:textId="77777777" w:rsidR="00466311" w:rsidRPr="00EB631B" w:rsidRDefault="00466311" w:rsidP="001708C1">
                  <w:pPr>
                    <w:pStyle w:val="TableUnitsRow"/>
                    <w:rPr>
                      <w:rFonts w:cs="Arial"/>
                      <w:sz w:val="17"/>
                    </w:rPr>
                  </w:pPr>
                </w:p>
              </w:tc>
              <w:tc>
                <w:tcPr>
                  <w:tcW w:w="447" w:type="pct"/>
                  <w:tcBorders>
                    <w:left w:val="nil"/>
                    <w:right w:val="nil"/>
                  </w:tcBorders>
                </w:tcPr>
                <w:p w14:paraId="236F33BE" w14:textId="77777777" w:rsidR="00466311" w:rsidRPr="00EB631B" w:rsidRDefault="00466311" w:rsidP="001708C1">
                  <w:pPr>
                    <w:pStyle w:val="TableUnitsRow"/>
                    <w:rPr>
                      <w:rFonts w:cs="Arial"/>
                      <w:sz w:val="17"/>
                    </w:rPr>
                  </w:pPr>
                </w:p>
              </w:tc>
            </w:tr>
            <w:tr w:rsidR="00A55CA7" w14:paraId="4AA7F244" w14:textId="77777777" w:rsidTr="001708C1">
              <w:trPr>
                <w:tblHeader/>
              </w:trPr>
              <w:tc>
                <w:tcPr>
                  <w:tcW w:w="1423" w:type="pct"/>
                  <w:tcBorders>
                    <w:left w:val="nil"/>
                    <w:right w:val="nil"/>
                  </w:tcBorders>
                </w:tcPr>
                <w:p w14:paraId="10F9FFFD" w14:textId="77777777" w:rsidR="00A55CA7" w:rsidRDefault="00A55CA7" w:rsidP="00A55CA7">
                  <w:pPr>
                    <w:pStyle w:val="TableBullet"/>
                    <w:rPr>
                      <w:rFonts w:cs="Arial"/>
                      <w:sz w:val="17"/>
                    </w:rPr>
                  </w:pPr>
                  <w:r>
                    <w:rPr>
                      <w:rFonts w:cs="Arial"/>
                      <w:sz w:val="17"/>
                      <w:szCs w:val="16"/>
                    </w:rPr>
                    <w:t>Land</w:t>
                  </w:r>
                </w:p>
              </w:tc>
              <w:tc>
                <w:tcPr>
                  <w:tcW w:w="447" w:type="pct"/>
                  <w:tcBorders>
                    <w:top w:val="nil"/>
                    <w:left w:val="nil"/>
                    <w:bottom w:val="nil"/>
                    <w:right w:val="nil"/>
                  </w:tcBorders>
                  <w:shd w:val="clear" w:color="auto" w:fill="auto"/>
                </w:tcPr>
                <w:p w14:paraId="61DE5151" w14:textId="400EA83C" w:rsidR="00A55CA7" w:rsidRPr="00ED005E" w:rsidRDefault="00162870" w:rsidP="00A55CA7">
                  <w:pPr>
                    <w:pStyle w:val="TableUnitsRow"/>
                    <w:rPr>
                      <w:rFonts w:cs="Arial"/>
                      <w:sz w:val="17"/>
                    </w:rPr>
                  </w:pPr>
                  <w:r>
                    <w:rPr>
                      <w:sz w:val="17"/>
                    </w:rPr>
                    <w:t xml:space="preserve">508 729 </w:t>
                  </w:r>
                </w:p>
              </w:tc>
              <w:tc>
                <w:tcPr>
                  <w:tcW w:w="447" w:type="pct"/>
                  <w:tcBorders>
                    <w:top w:val="nil"/>
                    <w:left w:val="nil"/>
                    <w:bottom w:val="nil"/>
                    <w:right w:val="nil"/>
                  </w:tcBorders>
                  <w:shd w:val="clear" w:color="auto" w:fill="auto"/>
                </w:tcPr>
                <w:p w14:paraId="28E28A69" w14:textId="105F0F5F" w:rsidR="00A55CA7" w:rsidRPr="00ED005E" w:rsidRDefault="006A010B" w:rsidP="00A55CA7">
                  <w:pPr>
                    <w:pStyle w:val="TableUnitsRow"/>
                    <w:rPr>
                      <w:rFonts w:cs="Arial"/>
                      <w:sz w:val="17"/>
                    </w:rPr>
                  </w:pPr>
                  <w:r>
                    <w:rPr>
                      <w:sz w:val="17"/>
                    </w:rPr>
                    <w:t>651</w:t>
                  </w:r>
                  <w:r w:rsidR="00A55CA7" w:rsidRPr="00ED005E">
                    <w:rPr>
                      <w:sz w:val="17"/>
                    </w:rPr>
                    <w:t> </w:t>
                  </w:r>
                  <w:r>
                    <w:rPr>
                      <w:sz w:val="17"/>
                    </w:rPr>
                    <w:t>282</w:t>
                  </w:r>
                </w:p>
              </w:tc>
              <w:tc>
                <w:tcPr>
                  <w:tcW w:w="447" w:type="pct"/>
                  <w:tcBorders>
                    <w:top w:val="nil"/>
                    <w:left w:val="nil"/>
                    <w:bottom w:val="nil"/>
                    <w:right w:val="nil"/>
                  </w:tcBorders>
                  <w:shd w:val="clear" w:color="auto" w:fill="auto"/>
                </w:tcPr>
                <w:p w14:paraId="15E4ACE6" w14:textId="29DD6670" w:rsidR="00A55CA7" w:rsidRPr="00ED005E" w:rsidRDefault="00A55CA7" w:rsidP="005D6B2F">
                  <w:pPr>
                    <w:pStyle w:val="TableUnitsRow"/>
                    <w:rPr>
                      <w:rFonts w:cs="Arial"/>
                      <w:sz w:val="17"/>
                    </w:rPr>
                  </w:pPr>
                  <w:r w:rsidRPr="00ED005E">
                    <w:rPr>
                      <w:sz w:val="17"/>
                    </w:rPr>
                    <w:t>4</w:t>
                  </w:r>
                  <w:r w:rsidR="00FE6581">
                    <w:rPr>
                      <w:sz w:val="17"/>
                    </w:rPr>
                    <w:t>54</w:t>
                  </w:r>
                  <w:r w:rsidRPr="00ED005E">
                    <w:rPr>
                      <w:sz w:val="17"/>
                    </w:rPr>
                    <w:t> </w:t>
                  </w:r>
                  <w:r w:rsidR="00E213E3">
                    <w:rPr>
                      <w:sz w:val="17"/>
                    </w:rPr>
                    <w:t>506</w:t>
                  </w:r>
                </w:p>
              </w:tc>
              <w:tc>
                <w:tcPr>
                  <w:tcW w:w="447" w:type="pct"/>
                  <w:tcBorders>
                    <w:top w:val="nil"/>
                    <w:left w:val="nil"/>
                    <w:bottom w:val="nil"/>
                    <w:right w:val="nil"/>
                  </w:tcBorders>
                  <w:shd w:val="clear" w:color="auto" w:fill="auto"/>
                </w:tcPr>
                <w:p w14:paraId="00C9A35D" w14:textId="5FA585B1" w:rsidR="00A55CA7" w:rsidRPr="00ED005E" w:rsidRDefault="00FE2193" w:rsidP="005D6B2F">
                  <w:pPr>
                    <w:pStyle w:val="TableUnitsRow"/>
                    <w:rPr>
                      <w:rFonts w:cs="Arial"/>
                      <w:sz w:val="17"/>
                    </w:rPr>
                  </w:pPr>
                  <w:r>
                    <w:rPr>
                      <w:sz w:val="17"/>
                    </w:rPr>
                    <w:t>200</w:t>
                  </w:r>
                  <w:r w:rsidR="00A55CA7" w:rsidRPr="00ED005E">
                    <w:rPr>
                      <w:sz w:val="17"/>
                    </w:rPr>
                    <w:t> </w:t>
                  </w:r>
                  <w:r>
                    <w:rPr>
                      <w:sz w:val="17"/>
                    </w:rPr>
                    <w:t>246</w:t>
                  </w:r>
                </w:p>
              </w:tc>
              <w:tc>
                <w:tcPr>
                  <w:tcW w:w="447" w:type="pct"/>
                  <w:tcBorders>
                    <w:top w:val="nil"/>
                    <w:left w:val="nil"/>
                    <w:bottom w:val="nil"/>
                    <w:right w:val="nil"/>
                  </w:tcBorders>
                  <w:shd w:val="clear" w:color="auto" w:fill="auto"/>
                </w:tcPr>
                <w:p w14:paraId="528CD5EA" w14:textId="2D7FB468" w:rsidR="00A55CA7" w:rsidRPr="00ED005E" w:rsidRDefault="005D6B2F" w:rsidP="005D6B2F">
                  <w:pPr>
                    <w:pStyle w:val="TableUnitsRow"/>
                    <w:rPr>
                      <w:rFonts w:cs="Arial"/>
                      <w:sz w:val="17"/>
                    </w:rPr>
                  </w:pPr>
                  <w:r w:rsidRPr="00ED005E">
                    <w:rPr>
                      <w:sz w:val="17"/>
                    </w:rPr>
                    <w:t>8</w:t>
                  </w:r>
                  <w:r w:rsidR="009D6748" w:rsidRPr="00ED005E">
                    <w:rPr>
                      <w:sz w:val="17"/>
                    </w:rPr>
                    <w:t>0</w:t>
                  </w:r>
                  <w:r w:rsidR="00A55CA7" w:rsidRPr="00ED005E">
                    <w:rPr>
                      <w:sz w:val="17"/>
                    </w:rPr>
                    <w:t> </w:t>
                  </w:r>
                  <w:r w:rsidR="009D6748" w:rsidRPr="00ED005E">
                    <w:rPr>
                      <w:sz w:val="17"/>
                    </w:rPr>
                    <w:t>9</w:t>
                  </w:r>
                  <w:r w:rsidR="00571911">
                    <w:rPr>
                      <w:sz w:val="17"/>
                    </w:rPr>
                    <w:t>42</w:t>
                  </w:r>
                </w:p>
              </w:tc>
              <w:tc>
                <w:tcPr>
                  <w:tcW w:w="447" w:type="pct"/>
                  <w:tcBorders>
                    <w:top w:val="nil"/>
                    <w:left w:val="nil"/>
                    <w:bottom w:val="nil"/>
                    <w:right w:val="nil"/>
                  </w:tcBorders>
                  <w:shd w:val="clear" w:color="auto" w:fill="auto"/>
                </w:tcPr>
                <w:p w14:paraId="7FF75583" w14:textId="0BE0F61E" w:rsidR="00A55CA7" w:rsidRPr="00ED005E" w:rsidRDefault="00E01F4E" w:rsidP="005D6B2F">
                  <w:pPr>
                    <w:pStyle w:val="TableUnitsRow"/>
                    <w:rPr>
                      <w:rFonts w:cs="Arial"/>
                      <w:sz w:val="17"/>
                    </w:rPr>
                  </w:pPr>
                  <w:r w:rsidRPr="00ED005E">
                    <w:rPr>
                      <w:sz w:val="17"/>
                    </w:rPr>
                    <w:t>4</w:t>
                  </w:r>
                  <w:r w:rsidR="00AE3DD9">
                    <w:rPr>
                      <w:sz w:val="17"/>
                    </w:rPr>
                    <w:t>5</w:t>
                  </w:r>
                  <w:r w:rsidR="00A55CA7" w:rsidRPr="00ED005E">
                    <w:rPr>
                      <w:sz w:val="17"/>
                    </w:rPr>
                    <w:t> </w:t>
                  </w:r>
                  <w:r w:rsidR="00AE3DD9">
                    <w:rPr>
                      <w:sz w:val="17"/>
                    </w:rPr>
                    <w:t>683</w:t>
                  </w:r>
                </w:p>
              </w:tc>
              <w:tc>
                <w:tcPr>
                  <w:tcW w:w="447" w:type="pct"/>
                  <w:tcBorders>
                    <w:top w:val="nil"/>
                    <w:left w:val="nil"/>
                    <w:bottom w:val="nil"/>
                    <w:right w:val="nil"/>
                  </w:tcBorders>
                  <w:shd w:val="clear" w:color="auto" w:fill="auto"/>
                </w:tcPr>
                <w:p w14:paraId="4E987049" w14:textId="17447298" w:rsidR="00A55CA7" w:rsidRPr="00ED005E" w:rsidRDefault="000A671B" w:rsidP="000A671B">
                  <w:pPr>
                    <w:pStyle w:val="TableUnitsRow"/>
                    <w:rPr>
                      <w:rFonts w:cs="Arial"/>
                      <w:sz w:val="17"/>
                    </w:rPr>
                  </w:pPr>
                  <w:r w:rsidRPr="00ED005E">
                    <w:rPr>
                      <w:sz w:val="17"/>
                    </w:rPr>
                    <w:t>3</w:t>
                  </w:r>
                  <w:r w:rsidR="00411164">
                    <w:rPr>
                      <w:sz w:val="17"/>
                    </w:rPr>
                    <w:t>6</w:t>
                  </w:r>
                  <w:r w:rsidR="00A55CA7" w:rsidRPr="00ED005E">
                    <w:rPr>
                      <w:sz w:val="17"/>
                    </w:rPr>
                    <w:t> </w:t>
                  </w:r>
                  <w:r w:rsidR="00411164">
                    <w:rPr>
                      <w:sz w:val="17"/>
                    </w:rPr>
                    <w:t>22</w:t>
                  </w:r>
                  <w:r w:rsidRPr="00ED005E">
                    <w:rPr>
                      <w:sz w:val="17"/>
                    </w:rPr>
                    <w:t>0</w:t>
                  </w:r>
                </w:p>
              </w:tc>
              <w:tc>
                <w:tcPr>
                  <w:tcW w:w="447" w:type="pct"/>
                  <w:tcBorders>
                    <w:top w:val="nil"/>
                    <w:left w:val="nil"/>
                    <w:bottom w:val="nil"/>
                    <w:right w:val="nil"/>
                  </w:tcBorders>
                  <w:shd w:val="clear" w:color="auto" w:fill="auto"/>
                </w:tcPr>
                <w:p w14:paraId="4918775C" w14:textId="6BA11D95" w:rsidR="00A55CA7" w:rsidRPr="00ED005E" w:rsidRDefault="000A671B" w:rsidP="000A671B">
                  <w:pPr>
                    <w:pStyle w:val="TableUnitsRow"/>
                    <w:rPr>
                      <w:rFonts w:cs="Arial"/>
                      <w:sz w:val="17"/>
                    </w:rPr>
                  </w:pPr>
                  <w:r w:rsidRPr="00ED005E">
                    <w:rPr>
                      <w:sz w:val="17"/>
                    </w:rPr>
                    <w:t>1</w:t>
                  </w:r>
                  <w:r w:rsidR="00E4562D">
                    <w:rPr>
                      <w:sz w:val="17"/>
                    </w:rPr>
                    <w:t>6</w:t>
                  </w:r>
                  <w:r w:rsidR="00A55CA7" w:rsidRPr="00ED005E">
                    <w:rPr>
                      <w:sz w:val="17"/>
                    </w:rPr>
                    <w:t> </w:t>
                  </w:r>
                  <w:r w:rsidR="00E4562D">
                    <w:rPr>
                      <w:sz w:val="17"/>
                    </w:rPr>
                    <w:t>417</w:t>
                  </w:r>
                </w:p>
              </w:tc>
            </w:tr>
            <w:tr w:rsidR="00A55CA7" w14:paraId="12D2A1B4" w14:textId="77777777" w:rsidTr="001708C1">
              <w:trPr>
                <w:tblHeader/>
              </w:trPr>
              <w:tc>
                <w:tcPr>
                  <w:tcW w:w="1423" w:type="pct"/>
                  <w:tcBorders>
                    <w:left w:val="nil"/>
                    <w:right w:val="nil"/>
                  </w:tcBorders>
                </w:tcPr>
                <w:p w14:paraId="2805FF7C" w14:textId="77777777" w:rsidR="00A55CA7" w:rsidRDefault="00A55CA7" w:rsidP="00A55CA7">
                  <w:pPr>
                    <w:pStyle w:val="TableBullet"/>
                    <w:rPr>
                      <w:rFonts w:cs="Arial"/>
                      <w:sz w:val="17"/>
                    </w:rPr>
                  </w:pPr>
                  <w:r>
                    <w:rPr>
                      <w:rFonts w:cs="Arial"/>
                      <w:sz w:val="17"/>
                      <w:szCs w:val="16"/>
                    </w:rPr>
                    <w:t>Buildings</w:t>
                  </w:r>
                </w:p>
              </w:tc>
              <w:tc>
                <w:tcPr>
                  <w:tcW w:w="447" w:type="pct"/>
                  <w:tcBorders>
                    <w:top w:val="nil"/>
                    <w:left w:val="nil"/>
                    <w:right w:val="nil"/>
                  </w:tcBorders>
                  <w:shd w:val="clear" w:color="auto" w:fill="auto"/>
                </w:tcPr>
                <w:p w14:paraId="0926F74A" w14:textId="27EC9D39" w:rsidR="00A55CA7" w:rsidRPr="00ED005E" w:rsidRDefault="00162870" w:rsidP="00A55CA7">
                  <w:pPr>
                    <w:pStyle w:val="TableUnitsRow"/>
                    <w:rPr>
                      <w:rFonts w:cs="Arial"/>
                      <w:sz w:val="17"/>
                    </w:rPr>
                  </w:pPr>
                  <w:r>
                    <w:rPr>
                      <w:sz w:val="17"/>
                    </w:rPr>
                    <w:t xml:space="preserve">948 850 </w:t>
                  </w:r>
                </w:p>
              </w:tc>
              <w:tc>
                <w:tcPr>
                  <w:tcW w:w="447" w:type="pct"/>
                  <w:tcBorders>
                    <w:top w:val="nil"/>
                    <w:left w:val="nil"/>
                    <w:right w:val="nil"/>
                  </w:tcBorders>
                  <w:shd w:val="clear" w:color="auto" w:fill="auto"/>
                </w:tcPr>
                <w:p w14:paraId="36E9910C" w14:textId="7B71C83C" w:rsidR="00A55CA7" w:rsidRPr="00ED005E" w:rsidRDefault="006A010B" w:rsidP="00A55CA7">
                  <w:pPr>
                    <w:pStyle w:val="TableUnitsRow"/>
                    <w:rPr>
                      <w:rFonts w:cs="Arial"/>
                      <w:sz w:val="17"/>
                    </w:rPr>
                  </w:pPr>
                  <w:r>
                    <w:rPr>
                      <w:sz w:val="17"/>
                    </w:rPr>
                    <w:t>2</w:t>
                  </w:r>
                  <w:r w:rsidR="00A55CA7" w:rsidRPr="00ED005E">
                    <w:rPr>
                      <w:sz w:val="17"/>
                    </w:rPr>
                    <w:t> </w:t>
                  </w:r>
                  <w:r w:rsidR="002516AA">
                    <w:rPr>
                      <w:sz w:val="17"/>
                    </w:rPr>
                    <w:t>697</w:t>
                  </w:r>
                  <w:r w:rsidR="00A55CA7" w:rsidRPr="00ED005E">
                    <w:rPr>
                      <w:sz w:val="17"/>
                    </w:rPr>
                    <w:t> </w:t>
                  </w:r>
                  <w:r w:rsidR="002516AA">
                    <w:rPr>
                      <w:sz w:val="17"/>
                    </w:rPr>
                    <w:t>104</w:t>
                  </w:r>
                </w:p>
              </w:tc>
              <w:tc>
                <w:tcPr>
                  <w:tcW w:w="447" w:type="pct"/>
                  <w:tcBorders>
                    <w:top w:val="nil"/>
                    <w:left w:val="nil"/>
                    <w:right w:val="nil"/>
                  </w:tcBorders>
                  <w:shd w:val="clear" w:color="auto" w:fill="auto"/>
                </w:tcPr>
                <w:p w14:paraId="396E57EB" w14:textId="76317CCF" w:rsidR="00A55CA7" w:rsidRPr="00ED005E" w:rsidRDefault="00E213E3" w:rsidP="005D6B2F">
                  <w:pPr>
                    <w:pStyle w:val="TableUnitsRow"/>
                    <w:rPr>
                      <w:rFonts w:cs="Arial"/>
                      <w:sz w:val="17"/>
                    </w:rPr>
                  </w:pPr>
                  <w:r>
                    <w:rPr>
                      <w:sz w:val="17"/>
                    </w:rPr>
                    <w:t xml:space="preserve">1 </w:t>
                  </w:r>
                  <w:r w:rsidR="00F32CCC">
                    <w:rPr>
                      <w:sz w:val="17"/>
                    </w:rPr>
                    <w:t>003</w:t>
                  </w:r>
                  <w:r w:rsidR="00A55CA7" w:rsidRPr="00ED005E">
                    <w:rPr>
                      <w:sz w:val="17"/>
                    </w:rPr>
                    <w:t> </w:t>
                  </w:r>
                  <w:r>
                    <w:rPr>
                      <w:sz w:val="17"/>
                    </w:rPr>
                    <w:t>827</w:t>
                  </w:r>
                </w:p>
              </w:tc>
              <w:tc>
                <w:tcPr>
                  <w:tcW w:w="447" w:type="pct"/>
                  <w:tcBorders>
                    <w:top w:val="nil"/>
                    <w:left w:val="nil"/>
                    <w:right w:val="nil"/>
                  </w:tcBorders>
                  <w:shd w:val="clear" w:color="auto" w:fill="auto"/>
                </w:tcPr>
                <w:p w14:paraId="592FB50D" w14:textId="4E7DFEBC" w:rsidR="00A55CA7" w:rsidRPr="00ED005E" w:rsidRDefault="005D6B2F" w:rsidP="005D6B2F">
                  <w:pPr>
                    <w:pStyle w:val="TableUnitsRow"/>
                    <w:rPr>
                      <w:rFonts w:cs="Arial"/>
                      <w:sz w:val="17"/>
                    </w:rPr>
                  </w:pPr>
                  <w:r w:rsidRPr="00ED005E">
                    <w:rPr>
                      <w:sz w:val="17"/>
                    </w:rPr>
                    <w:t>5</w:t>
                  </w:r>
                  <w:r w:rsidR="008C1C28" w:rsidRPr="00ED005E">
                    <w:rPr>
                      <w:sz w:val="17"/>
                    </w:rPr>
                    <w:t>6</w:t>
                  </w:r>
                  <w:r w:rsidR="00FE2193">
                    <w:rPr>
                      <w:sz w:val="17"/>
                    </w:rPr>
                    <w:t>9</w:t>
                  </w:r>
                  <w:r w:rsidR="00A55CA7" w:rsidRPr="00ED005E">
                    <w:rPr>
                      <w:sz w:val="17"/>
                    </w:rPr>
                    <w:t> </w:t>
                  </w:r>
                  <w:r w:rsidR="00FE2193">
                    <w:rPr>
                      <w:sz w:val="17"/>
                    </w:rPr>
                    <w:t>494</w:t>
                  </w:r>
                </w:p>
              </w:tc>
              <w:tc>
                <w:tcPr>
                  <w:tcW w:w="447" w:type="pct"/>
                  <w:tcBorders>
                    <w:top w:val="nil"/>
                    <w:left w:val="nil"/>
                    <w:right w:val="nil"/>
                  </w:tcBorders>
                  <w:shd w:val="clear" w:color="auto" w:fill="auto"/>
                </w:tcPr>
                <w:p w14:paraId="16419608" w14:textId="6086E07B" w:rsidR="00A55CA7" w:rsidRPr="00ED005E" w:rsidRDefault="005D6B2F" w:rsidP="005D6B2F">
                  <w:pPr>
                    <w:pStyle w:val="TableUnitsRow"/>
                    <w:rPr>
                      <w:rFonts w:cs="Arial"/>
                      <w:sz w:val="17"/>
                    </w:rPr>
                  </w:pPr>
                  <w:r w:rsidRPr="00ED005E">
                    <w:rPr>
                      <w:sz w:val="17"/>
                    </w:rPr>
                    <w:t>2</w:t>
                  </w:r>
                  <w:r w:rsidR="00571911">
                    <w:rPr>
                      <w:sz w:val="17"/>
                    </w:rPr>
                    <w:t>69</w:t>
                  </w:r>
                  <w:r w:rsidR="00A55CA7" w:rsidRPr="00ED005E">
                    <w:rPr>
                      <w:sz w:val="17"/>
                    </w:rPr>
                    <w:t> </w:t>
                  </w:r>
                  <w:r w:rsidR="00571911">
                    <w:rPr>
                      <w:sz w:val="17"/>
                    </w:rPr>
                    <w:t>568</w:t>
                  </w:r>
                </w:p>
              </w:tc>
              <w:tc>
                <w:tcPr>
                  <w:tcW w:w="447" w:type="pct"/>
                  <w:tcBorders>
                    <w:top w:val="nil"/>
                    <w:left w:val="nil"/>
                    <w:right w:val="nil"/>
                  </w:tcBorders>
                  <w:shd w:val="clear" w:color="auto" w:fill="auto"/>
                </w:tcPr>
                <w:p w14:paraId="6D25705E" w14:textId="09932A0F" w:rsidR="00A55CA7" w:rsidRPr="00ED005E" w:rsidRDefault="005D6B2F" w:rsidP="005D6B2F">
                  <w:pPr>
                    <w:pStyle w:val="TableUnitsRow"/>
                    <w:rPr>
                      <w:rFonts w:cs="Arial"/>
                      <w:sz w:val="17"/>
                    </w:rPr>
                  </w:pPr>
                  <w:r w:rsidRPr="00ED005E">
                    <w:rPr>
                      <w:sz w:val="17"/>
                    </w:rPr>
                    <w:t>1</w:t>
                  </w:r>
                  <w:r w:rsidR="00AE3DD9">
                    <w:rPr>
                      <w:sz w:val="17"/>
                    </w:rPr>
                    <w:t>26</w:t>
                  </w:r>
                  <w:r w:rsidR="00A55CA7" w:rsidRPr="00ED005E">
                    <w:rPr>
                      <w:sz w:val="17"/>
                    </w:rPr>
                    <w:t> </w:t>
                  </w:r>
                  <w:r w:rsidR="00E01F4E" w:rsidRPr="00ED005E">
                    <w:rPr>
                      <w:sz w:val="17"/>
                    </w:rPr>
                    <w:t>9</w:t>
                  </w:r>
                  <w:r w:rsidR="00AE3DD9">
                    <w:rPr>
                      <w:sz w:val="17"/>
                    </w:rPr>
                    <w:t>84</w:t>
                  </w:r>
                </w:p>
              </w:tc>
              <w:tc>
                <w:tcPr>
                  <w:tcW w:w="447" w:type="pct"/>
                  <w:tcBorders>
                    <w:top w:val="nil"/>
                    <w:left w:val="nil"/>
                    <w:right w:val="nil"/>
                  </w:tcBorders>
                  <w:shd w:val="clear" w:color="auto" w:fill="auto"/>
                </w:tcPr>
                <w:p w14:paraId="5054C095" w14:textId="5859FE37" w:rsidR="00A55CA7" w:rsidRPr="00ED005E" w:rsidRDefault="000A671B" w:rsidP="000A671B">
                  <w:pPr>
                    <w:pStyle w:val="TableUnitsRow"/>
                    <w:rPr>
                      <w:rFonts w:cs="Arial"/>
                      <w:sz w:val="17"/>
                    </w:rPr>
                  </w:pPr>
                  <w:r w:rsidRPr="00ED005E">
                    <w:rPr>
                      <w:sz w:val="17"/>
                    </w:rPr>
                    <w:t>4</w:t>
                  </w:r>
                  <w:r w:rsidR="000F7303">
                    <w:rPr>
                      <w:sz w:val="17"/>
                    </w:rPr>
                    <w:t>4</w:t>
                  </w:r>
                  <w:r w:rsidR="00A55CA7" w:rsidRPr="00ED005E">
                    <w:rPr>
                      <w:sz w:val="17"/>
                    </w:rPr>
                    <w:t> </w:t>
                  </w:r>
                  <w:r w:rsidR="000F7303">
                    <w:rPr>
                      <w:sz w:val="17"/>
                    </w:rPr>
                    <w:t>379</w:t>
                  </w:r>
                </w:p>
              </w:tc>
              <w:tc>
                <w:tcPr>
                  <w:tcW w:w="447" w:type="pct"/>
                  <w:tcBorders>
                    <w:top w:val="nil"/>
                    <w:left w:val="nil"/>
                    <w:right w:val="nil"/>
                  </w:tcBorders>
                  <w:shd w:val="clear" w:color="auto" w:fill="auto"/>
                </w:tcPr>
                <w:p w14:paraId="5E6CE679" w14:textId="568D8C95" w:rsidR="00A55CA7" w:rsidRPr="00ED005E" w:rsidRDefault="000A671B" w:rsidP="000A671B">
                  <w:pPr>
                    <w:pStyle w:val="TableUnitsRow"/>
                    <w:rPr>
                      <w:rFonts w:cs="Arial"/>
                      <w:sz w:val="17"/>
                    </w:rPr>
                  </w:pPr>
                  <w:r w:rsidRPr="00ED005E">
                    <w:rPr>
                      <w:sz w:val="17"/>
                    </w:rPr>
                    <w:t>2</w:t>
                  </w:r>
                  <w:r w:rsidR="00E4562D">
                    <w:rPr>
                      <w:sz w:val="17"/>
                    </w:rPr>
                    <w:t>83</w:t>
                  </w:r>
                  <w:r w:rsidR="00A55CA7" w:rsidRPr="00ED005E">
                    <w:rPr>
                      <w:sz w:val="17"/>
                    </w:rPr>
                    <w:t> </w:t>
                  </w:r>
                  <w:r w:rsidR="00E4562D">
                    <w:rPr>
                      <w:sz w:val="17"/>
                    </w:rPr>
                    <w:t>167</w:t>
                  </w:r>
                </w:p>
              </w:tc>
            </w:tr>
            <w:tr w:rsidR="00A55CA7" w14:paraId="7CB2E247" w14:textId="77777777" w:rsidTr="005D6B2F">
              <w:trPr>
                <w:tblHeader/>
              </w:trPr>
              <w:tc>
                <w:tcPr>
                  <w:tcW w:w="1423" w:type="pct"/>
                  <w:tcBorders>
                    <w:left w:val="nil"/>
                    <w:bottom w:val="single" w:sz="6" w:space="0" w:color="BFBFBF" w:themeColor="background1" w:themeShade="BF"/>
                    <w:right w:val="nil"/>
                  </w:tcBorders>
                </w:tcPr>
                <w:p w14:paraId="35921F87" w14:textId="77777777" w:rsidR="00A55CA7" w:rsidRDefault="00A55CA7" w:rsidP="00A55CA7">
                  <w:pPr>
                    <w:pStyle w:val="TableBullet"/>
                    <w:rPr>
                      <w:rFonts w:cs="Arial"/>
                      <w:sz w:val="17"/>
                    </w:rPr>
                  </w:pPr>
                  <w:r w:rsidRPr="007F24DC">
                    <w:rPr>
                      <w:rFonts w:cs="Arial"/>
                      <w:sz w:val="17"/>
                      <w:szCs w:val="16"/>
                    </w:rPr>
                    <w:t>Other assets</w:t>
                  </w:r>
                </w:p>
              </w:tc>
              <w:tc>
                <w:tcPr>
                  <w:tcW w:w="447" w:type="pct"/>
                  <w:tcBorders>
                    <w:left w:val="nil"/>
                    <w:bottom w:val="single" w:sz="6" w:space="0" w:color="BFBFBF" w:themeColor="background1" w:themeShade="BF"/>
                    <w:right w:val="nil"/>
                  </w:tcBorders>
                </w:tcPr>
                <w:p w14:paraId="41D04D2B" w14:textId="287191A1" w:rsidR="00A55CA7" w:rsidRPr="00ED005E" w:rsidRDefault="00162870" w:rsidP="00A55CA7">
                  <w:pPr>
                    <w:pStyle w:val="TableUnitsRow"/>
                    <w:rPr>
                      <w:rFonts w:cs="Arial"/>
                      <w:sz w:val="17"/>
                    </w:rPr>
                  </w:pPr>
                  <w:r>
                    <w:rPr>
                      <w:sz w:val="17"/>
                    </w:rPr>
                    <w:t xml:space="preserve">542 308 </w:t>
                  </w:r>
                </w:p>
              </w:tc>
              <w:tc>
                <w:tcPr>
                  <w:tcW w:w="447" w:type="pct"/>
                  <w:tcBorders>
                    <w:left w:val="nil"/>
                    <w:bottom w:val="single" w:sz="6" w:space="0" w:color="BFBFBF" w:themeColor="background1" w:themeShade="BF"/>
                    <w:right w:val="nil"/>
                  </w:tcBorders>
                </w:tcPr>
                <w:p w14:paraId="6F2D3D44" w14:textId="399798D2" w:rsidR="00A55CA7" w:rsidRPr="00ED005E" w:rsidRDefault="002516AA" w:rsidP="00A55CA7">
                  <w:pPr>
                    <w:pStyle w:val="TableUnitsRow"/>
                    <w:rPr>
                      <w:rFonts w:cs="Arial"/>
                      <w:sz w:val="17"/>
                    </w:rPr>
                  </w:pPr>
                  <w:r>
                    <w:rPr>
                      <w:sz w:val="17"/>
                    </w:rPr>
                    <w:t>381</w:t>
                  </w:r>
                  <w:r w:rsidR="00A55CA7" w:rsidRPr="00ED005E">
                    <w:rPr>
                      <w:sz w:val="17"/>
                    </w:rPr>
                    <w:t> </w:t>
                  </w:r>
                  <w:r w:rsidR="00CB6B6F" w:rsidRPr="00ED005E">
                    <w:rPr>
                      <w:sz w:val="17"/>
                    </w:rPr>
                    <w:t>5</w:t>
                  </w:r>
                  <w:r>
                    <w:rPr>
                      <w:sz w:val="17"/>
                    </w:rPr>
                    <w:t>02</w:t>
                  </w:r>
                </w:p>
              </w:tc>
              <w:tc>
                <w:tcPr>
                  <w:tcW w:w="447" w:type="pct"/>
                  <w:tcBorders>
                    <w:left w:val="nil"/>
                    <w:bottom w:val="single" w:sz="6" w:space="0" w:color="BFBFBF" w:themeColor="background1" w:themeShade="BF"/>
                    <w:right w:val="nil"/>
                  </w:tcBorders>
                </w:tcPr>
                <w:p w14:paraId="359440F5" w14:textId="73EF6076" w:rsidR="00A55CA7" w:rsidRPr="00ED005E" w:rsidRDefault="00407B36" w:rsidP="005D6B2F">
                  <w:pPr>
                    <w:pStyle w:val="TableUnitsRow"/>
                    <w:rPr>
                      <w:rFonts w:cs="Arial"/>
                      <w:sz w:val="17"/>
                    </w:rPr>
                  </w:pPr>
                  <w:r>
                    <w:rPr>
                      <w:sz w:val="17"/>
                    </w:rPr>
                    <w:t>280 638</w:t>
                  </w:r>
                </w:p>
              </w:tc>
              <w:tc>
                <w:tcPr>
                  <w:tcW w:w="447" w:type="pct"/>
                  <w:tcBorders>
                    <w:left w:val="nil"/>
                    <w:bottom w:val="single" w:sz="6" w:space="0" w:color="BFBFBF" w:themeColor="background1" w:themeShade="BF"/>
                    <w:right w:val="nil"/>
                  </w:tcBorders>
                </w:tcPr>
                <w:p w14:paraId="138CB62C" w14:textId="503A0DB9" w:rsidR="00A55CA7" w:rsidRPr="00ED005E" w:rsidRDefault="005D6B2F" w:rsidP="005D6B2F">
                  <w:pPr>
                    <w:pStyle w:val="TableUnitsRow"/>
                    <w:rPr>
                      <w:rFonts w:cs="Arial"/>
                      <w:sz w:val="17"/>
                    </w:rPr>
                  </w:pPr>
                  <w:r w:rsidRPr="00ED005E">
                    <w:rPr>
                      <w:sz w:val="17"/>
                    </w:rPr>
                    <w:t>2</w:t>
                  </w:r>
                  <w:r w:rsidR="00FE2193">
                    <w:rPr>
                      <w:sz w:val="17"/>
                    </w:rPr>
                    <w:t>89</w:t>
                  </w:r>
                  <w:r w:rsidR="00A55CA7" w:rsidRPr="00ED005E">
                    <w:rPr>
                      <w:sz w:val="17"/>
                    </w:rPr>
                    <w:t> </w:t>
                  </w:r>
                  <w:r w:rsidR="00FE2193">
                    <w:rPr>
                      <w:sz w:val="17"/>
                    </w:rPr>
                    <w:t>699</w:t>
                  </w:r>
                </w:p>
              </w:tc>
              <w:tc>
                <w:tcPr>
                  <w:tcW w:w="447" w:type="pct"/>
                  <w:tcBorders>
                    <w:left w:val="nil"/>
                    <w:bottom w:val="single" w:sz="6" w:space="0" w:color="BFBFBF" w:themeColor="background1" w:themeShade="BF"/>
                    <w:right w:val="nil"/>
                  </w:tcBorders>
                </w:tcPr>
                <w:p w14:paraId="18356E2F" w14:textId="4E531EAE" w:rsidR="00A55CA7" w:rsidRPr="00ED005E" w:rsidRDefault="00571911" w:rsidP="005D6B2F">
                  <w:pPr>
                    <w:pStyle w:val="TableUnitsRow"/>
                    <w:rPr>
                      <w:rFonts w:cs="Arial"/>
                      <w:sz w:val="17"/>
                    </w:rPr>
                  </w:pPr>
                  <w:r>
                    <w:rPr>
                      <w:sz w:val="17"/>
                    </w:rPr>
                    <w:t>49</w:t>
                  </w:r>
                  <w:r w:rsidR="00A55CA7" w:rsidRPr="00ED005E">
                    <w:rPr>
                      <w:sz w:val="17"/>
                    </w:rPr>
                    <w:t> </w:t>
                  </w:r>
                  <w:r>
                    <w:rPr>
                      <w:sz w:val="17"/>
                    </w:rPr>
                    <w:t>536</w:t>
                  </w:r>
                </w:p>
              </w:tc>
              <w:tc>
                <w:tcPr>
                  <w:tcW w:w="447" w:type="pct"/>
                  <w:tcBorders>
                    <w:left w:val="nil"/>
                    <w:bottom w:val="single" w:sz="6" w:space="0" w:color="BFBFBF" w:themeColor="background1" w:themeShade="BF"/>
                    <w:right w:val="nil"/>
                  </w:tcBorders>
                </w:tcPr>
                <w:p w14:paraId="54D0BD64" w14:textId="40A82050" w:rsidR="00A55CA7" w:rsidRPr="00ED005E" w:rsidRDefault="00E01F4E" w:rsidP="000A671B">
                  <w:pPr>
                    <w:pStyle w:val="TableUnitsRow"/>
                    <w:rPr>
                      <w:rFonts w:cs="Arial"/>
                      <w:sz w:val="17"/>
                    </w:rPr>
                  </w:pPr>
                  <w:r w:rsidRPr="00ED005E">
                    <w:rPr>
                      <w:sz w:val="17"/>
                    </w:rPr>
                    <w:t>2</w:t>
                  </w:r>
                  <w:r w:rsidR="00AE3DD9">
                    <w:rPr>
                      <w:sz w:val="17"/>
                    </w:rPr>
                    <w:t>1</w:t>
                  </w:r>
                  <w:r w:rsidR="00A55CA7" w:rsidRPr="00ED005E">
                    <w:rPr>
                      <w:sz w:val="17"/>
                    </w:rPr>
                    <w:t> </w:t>
                  </w:r>
                  <w:r w:rsidRPr="00ED005E">
                    <w:rPr>
                      <w:sz w:val="17"/>
                    </w:rPr>
                    <w:t>0</w:t>
                  </w:r>
                  <w:r w:rsidR="00AE3DD9">
                    <w:rPr>
                      <w:sz w:val="17"/>
                    </w:rPr>
                    <w:t>80</w:t>
                  </w:r>
                </w:p>
              </w:tc>
              <w:tc>
                <w:tcPr>
                  <w:tcW w:w="447" w:type="pct"/>
                  <w:tcBorders>
                    <w:left w:val="nil"/>
                    <w:bottom w:val="single" w:sz="6" w:space="0" w:color="BFBFBF" w:themeColor="background1" w:themeShade="BF"/>
                    <w:right w:val="nil"/>
                  </w:tcBorders>
                </w:tcPr>
                <w:p w14:paraId="66FE87A2" w14:textId="1A6526A5" w:rsidR="00A55CA7" w:rsidRPr="00ED005E" w:rsidRDefault="000F7303" w:rsidP="000A671B">
                  <w:pPr>
                    <w:pStyle w:val="TableUnitsRow"/>
                    <w:rPr>
                      <w:rFonts w:cs="Arial"/>
                      <w:sz w:val="17"/>
                    </w:rPr>
                  </w:pPr>
                  <w:r>
                    <w:rPr>
                      <w:sz w:val="17"/>
                    </w:rPr>
                    <w:t>9</w:t>
                  </w:r>
                  <w:r w:rsidR="00A55CA7" w:rsidRPr="00ED005E">
                    <w:rPr>
                      <w:sz w:val="17"/>
                    </w:rPr>
                    <w:t> </w:t>
                  </w:r>
                  <w:r>
                    <w:rPr>
                      <w:sz w:val="17"/>
                    </w:rPr>
                    <w:t>850</w:t>
                  </w:r>
                </w:p>
              </w:tc>
              <w:tc>
                <w:tcPr>
                  <w:tcW w:w="447" w:type="pct"/>
                  <w:tcBorders>
                    <w:left w:val="nil"/>
                    <w:bottom w:val="single" w:sz="6" w:space="0" w:color="BFBFBF" w:themeColor="background1" w:themeShade="BF"/>
                    <w:right w:val="nil"/>
                  </w:tcBorders>
                </w:tcPr>
                <w:p w14:paraId="4DA637AE" w14:textId="5B15ABB9" w:rsidR="00A55CA7" w:rsidRPr="00ED005E" w:rsidRDefault="0066165B" w:rsidP="000A671B">
                  <w:pPr>
                    <w:pStyle w:val="TableUnitsRow"/>
                    <w:rPr>
                      <w:rFonts w:cs="Arial"/>
                      <w:sz w:val="17"/>
                    </w:rPr>
                  </w:pPr>
                  <w:r w:rsidRPr="00ED005E">
                    <w:rPr>
                      <w:sz w:val="17"/>
                    </w:rPr>
                    <w:t>4</w:t>
                  </w:r>
                  <w:r w:rsidR="00E4562D">
                    <w:rPr>
                      <w:sz w:val="17"/>
                    </w:rPr>
                    <w:t>0</w:t>
                  </w:r>
                  <w:r w:rsidR="00A55CA7" w:rsidRPr="00ED005E">
                    <w:rPr>
                      <w:sz w:val="17"/>
                    </w:rPr>
                    <w:t> </w:t>
                  </w:r>
                  <w:r w:rsidR="00E4562D">
                    <w:rPr>
                      <w:sz w:val="17"/>
                    </w:rPr>
                    <w:t>156</w:t>
                  </w:r>
                </w:p>
              </w:tc>
            </w:tr>
          </w:tbl>
          <w:p w14:paraId="759FB65A" w14:textId="77777777" w:rsidR="00466311" w:rsidRDefault="00466311" w:rsidP="001708C1">
            <w:pPr>
              <w:pStyle w:val="Box"/>
            </w:pPr>
          </w:p>
        </w:tc>
      </w:tr>
      <w:tr w:rsidR="00466311" w14:paraId="19C97EAA" w14:textId="77777777" w:rsidTr="001708C1">
        <w:tc>
          <w:tcPr>
            <w:tcW w:w="13445" w:type="dxa"/>
            <w:tcBorders>
              <w:top w:val="nil"/>
              <w:left w:val="nil"/>
              <w:bottom w:val="nil"/>
              <w:right w:val="nil"/>
            </w:tcBorders>
            <w:shd w:val="clear" w:color="auto" w:fill="auto"/>
          </w:tcPr>
          <w:p w14:paraId="6BBBAC2F" w14:textId="1B0BEF58" w:rsidR="00466311" w:rsidRPr="0013596D" w:rsidRDefault="00466311" w:rsidP="00F90F86">
            <w:pPr>
              <w:pStyle w:val="Note"/>
            </w:pPr>
            <w:r w:rsidRPr="008E77FE">
              <w:rPr>
                <w:rStyle w:val="NoteLabel"/>
              </w:rPr>
              <w:t>a</w:t>
            </w:r>
            <w:r>
              <w:t xml:space="preserve"> </w:t>
            </w:r>
            <w:r w:rsidRPr="0013596D">
              <w:t xml:space="preserve">Depreciated replacement cost; </w:t>
            </w:r>
            <w:r w:rsidR="00F90F86">
              <w:t>current v</w:t>
            </w:r>
            <w:r w:rsidRPr="0013596D">
              <w:t>alue; market value</w:t>
            </w:r>
            <w:r w:rsidR="00F90F86">
              <w:t xml:space="preserve"> (</w:t>
            </w:r>
            <w:r w:rsidRPr="0013596D">
              <w:t>current (net) value, market selling price or exchange value</w:t>
            </w:r>
            <w:r w:rsidR="00F90F86">
              <w:t xml:space="preserve">); </w:t>
            </w:r>
            <w:r w:rsidRPr="0013596D">
              <w:t xml:space="preserve">and deprival value may be either the </w:t>
            </w:r>
            <w:r w:rsidR="00F90F86">
              <w:t>d</w:t>
            </w:r>
            <w:r w:rsidR="00F90F86" w:rsidRPr="0013596D">
              <w:t>epreciated replacement cost</w:t>
            </w:r>
            <w:r w:rsidRPr="0013596D">
              <w:t xml:space="preserve"> of an asset of a similar service potential or the stream of its future economic benefits.</w:t>
            </w:r>
            <w:r>
              <w:t xml:space="preserve"> </w:t>
            </w:r>
            <w:r>
              <w:rPr>
                <w:rStyle w:val="NoteLabel"/>
              </w:rPr>
              <w:t>b</w:t>
            </w:r>
            <w:r>
              <w:t xml:space="preserve"> </w:t>
            </w:r>
            <w:r w:rsidRPr="0013596D">
              <w:t>Est</w:t>
            </w:r>
            <w:r>
              <w:t xml:space="preserve">imated as (1/depreciation rate). </w:t>
            </w:r>
            <w:r>
              <w:rPr>
                <w:rStyle w:val="NoteLabel"/>
              </w:rPr>
              <w:t xml:space="preserve">c </w:t>
            </w:r>
            <w:r w:rsidRPr="0013596D">
              <w:t>A</w:t>
            </w:r>
            <w:r w:rsidR="008402D6">
              <w:t>CT a</w:t>
            </w:r>
            <w:r w:rsidRPr="0013596D">
              <w:t xml:space="preserve">sset lives for some assets have been grouped with other </w:t>
            </w:r>
            <w:r>
              <w:t xml:space="preserve">classifications. </w:t>
            </w:r>
            <w:r w:rsidR="007D4CB9">
              <w:rPr>
                <w:rStyle w:val="NoteLabel"/>
              </w:rPr>
              <w:t xml:space="preserve">d </w:t>
            </w:r>
            <w:r w:rsidR="007D4CB9">
              <w:t>WA IT equipment includes communication equipment.</w:t>
            </w:r>
            <w:r w:rsidR="007D4CB9" w:rsidRPr="00B87A10">
              <w:t xml:space="preserve"> </w:t>
            </w:r>
            <w:r w:rsidR="007D4CB9">
              <w:rPr>
                <w:rStyle w:val="NoteLabel"/>
              </w:rPr>
              <w:t xml:space="preserve">e </w:t>
            </w:r>
            <w:r w:rsidRPr="00B87A10">
              <w:t>NSW office equipment includes computer software, furniture and fittings, firearms and musical instruments.</w:t>
            </w:r>
            <w:r>
              <w:t xml:space="preserve"> </w:t>
            </w:r>
            <w:r w:rsidR="007D4CB9">
              <w:rPr>
                <w:rStyle w:val="NoteLabel"/>
              </w:rPr>
              <w:t>f</w:t>
            </w:r>
            <w:r>
              <w:rPr>
                <w:rStyle w:val="NoteLabel"/>
              </w:rPr>
              <w:t xml:space="preserve"> </w:t>
            </w:r>
            <w:r w:rsidRPr="00B87A10">
              <w:t>Includes all transport equipment. However, marine equipment is amortised over 20 years and livestock over 8 years. Leased vehicles, including aircraft and vessels are amortised over the lease term.</w:t>
            </w:r>
            <w:r>
              <w:t xml:space="preserve"> – Nil or rounded to zero. </w:t>
            </w:r>
            <w:r>
              <w:rPr>
                <w:b/>
              </w:rPr>
              <w:t xml:space="preserve">na </w:t>
            </w:r>
            <w:r>
              <w:t>Not available.</w:t>
            </w:r>
          </w:p>
        </w:tc>
      </w:tr>
      <w:tr w:rsidR="00466311" w14:paraId="25469D32" w14:textId="77777777" w:rsidTr="001708C1">
        <w:tc>
          <w:tcPr>
            <w:tcW w:w="13445" w:type="dxa"/>
            <w:tcBorders>
              <w:top w:val="nil"/>
              <w:left w:val="nil"/>
              <w:bottom w:val="nil"/>
              <w:right w:val="nil"/>
            </w:tcBorders>
            <w:shd w:val="clear" w:color="auto" w:fill="auto"/>
          </w:tcPr>
          <w:p w14:paraId="620CEF56" w14:textId="77777777" w:rsidR="00466311" w:rsidRDefault="00466311" w:rsidP="001708C1">
            <w:pPr>
              <w:pStyle w:val="Source"/>
            </w:pPr>
            <w:r>
              <w:rPr>
                <w:i/>
              </w:rPr>
              <w:t>Source</w:t>
            </w:r>
            <w:r w:rsidRPr="00167F06">
              <w:t xml:space="preserve">: </w:t>
            </w:r>
            <w:r>
              <w:t>State and Territory governments (unpublished).</w:t>
            </w:r>
          </w:p>
        </w:tc>
      </w:tr>
      <w:tr w:rsidR="00466311" w14:paraId="7D68913A" w14:textId="77777777" w:rsidTr="001708C1">
        <w:tc>
          <w:tcPr>
            <w:tcW w:w="13445" w:type="dxa"/>
            <w:tcBorders>
              <w:top w:val="nil"/>
              <w:left w:val="nil"/>
              <w:bottom w:val="single" w:sz="6" w:space="0" w:color="78A22F"/>
              <w:right w:val="nil"/>
            </w:tcBorders>
            <w:shd w:val="clear" w:color="auto" w:fill="auto"/>
          </w:tcPr>
          <w:p w14:paraId="210950AC" w14:textId="77777777" w:rsidR="00466311" w:rsidRDefault="00466311" w:rsidP="001708C1">
            <w:pPr>
              <w:pStyle w:val="Box"/>
              <w:spacing w:before="0" w:line="120" w:lineRule="exact"/>
            </w:pPr>
          </w:p>
        </w:tc>
      </w:tr>
      <w:tr w:rsidR="00466311" w:rsidRPr="000863A5" w14:paraId="7FFB9C7D" w14:textId="77777777" w:rsidTr="001708C1">
        <w:tc>
          <w:tcPr>
            <w:tcW w:w="13445" w:type="dxa"/>
            <w:tcBorders>
              <w:top w:val="single" w:sz="6" w:space="0" w:color="78A22F"/>
              <w:left w:val="nil"/>
              <w:bottom w:val="nil"/>
              <w:right w:val="nil"/>
            </w:tcBorders>
          </w:tcPr>
          <w:p w14:paraId="2F98477F" w14:textId="61D7CB37" w:rsidR="00466311" w:rsidRPr="00626D32" w:rsidRDefault="00466311" w:rsidP="001708C1">
            <w:pPr>
              <w:pStyle w:val="BoxSpaceBelow"/>
            </w:pPr>
          </w:p>
        </w:tc>
      </w:tr>
    </w:tbl>
    <w:p w14:paraId="31AD2B16" w14:textId="77777777" w:rsidR="0091682A" w:rsidRDefault="0091682A" w:rsidP="00A50EE9">
      <w:pPr>
        <w:pStyle w:val="BodyText"/>
      </w:pPr>
    </w:p>
    <w:p w14:paraId="04AF0B91" w14:textId="77777777" w:rsidR="00C277BC" w:rsidRDefault="00C277BC" w:rsidP="00A50EE9">
      <w:pPr>
        <w:pStyle w:val="BodyText"/>
        <w:sectPr w:rsidR="00C277BC" w:rsidSect="00064887">
          <w:headerReference w:type="default" r:id="rId15"/>
          <w:footerReference w:type="default" r:id="rId16"/>
          <w:pgSz w:w="16840" w:h="11907" w:orient="landscape" w:code="9"/>
          <w:pgMar w:top="1588" w:right="1985" w:bottom="1134" w:left="1247" w:header="1701" w:footer="397" w:gutter="0"/>
          <w:pgNumType w:chapSep="period"/>
          <w:cols w:space="720"/>
          <w:docGrid w:linePitch="326"/>
        </w:sectPr>
      </w:pPr>
    </w:p>
    <w:p w14:paraId="548A6298" w14:textId="77777777" w:rsidR="00466311" w:rsidRPr="00BD5742" w:rsidRDefault="00466311" w:rsidP="0001409F">
      <w:pPr>
        <w:pStyle w:val="Heading2nosectionno"/>
        <w:spacing w:before="360" w:after="240"/>
      </w:pPr>
      <w:bookmarkStart w:id="28" w:name="_Toc22029163"/>
      <w:r w:rsidRPr="00BD5742">
        <w:lastRenderedPageBreak/>
        <w:t>6.</w:t>
      </w:r>
      <w:r>
        <w:t>3</w:t>
      </w:r>
      <w:r w:rsidRPr="00BD5742">
        <w:tab/>
        <w:t>Definitions of key terms</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6.4 Definitions of key terms &#10;&#10;Table with key terms&#10;&#10;More details can be found within the text surrounding this image."/>
      </w:tblPr>
      <w:tblGrid>
        <w:gridCol w:w="2127"/>
        <w:gridCol w:w="6652"/>
      </w:tblGrid>
      <w:tr w:rsidR="00466311" w14:paraId="649F33C8" w14:textId="77777777" w:rsidTr="001708C1">
        <w:tc>
          <w:tcPr>
            <w:tcW w:w="2127" w:type="dxa"/>
          </w:tcPr>
          <w:p w14:paraId="48197CFA" w14:textId="77777777" w:rsidR="00466311" w:rsidRPr="008C59C4" w:rsidRDefault="00466311" w:rsidP="001708C1">
            <w:pPr>
              <w:pStyle w:val="TableBodyText"/>
              <w:spacing w:before="40" w:after="0"/>
              <w:jc w:val="left"/>
              <w:rPr>
                <w:b/>
              </w:rPr>
            </w:pPr>
            <w:r w:rsidRPr="00AB35CF">
              <w:rPr>
                <w:b/>
              </w:rPr>
              <w:t>Adjudicated defendant</w:t>
            </w:r>
          </w:p>
        </w:tc>
        <w:tc>
          <w:tcPr>
            <w:tcW w:w="6652" w:type="dxa"/>
          </w:tcPr>
          <w:p w14:paraId="14DC5B17" w14:textId="77777777" w:rsidR="00466311" w:rsidRDefault="00466311" w:rsidP="00CE07B6">
            <w:pPr>
              <w:pStyle w:val="TableBodyText"/>
              <w:jc w:val="left"/>
            </w:pPr>
            <w:r w:rsidRPr="00AB35CF">
              <w:t>A defendant is a person or organisation against whom one or more criminal charges have been laid and which are heard together as one unit of work by a court level. An adjudicated finalisation is a method of finalisation based on a judgment or decision by the court as to whether or not the defendant is guilty of the charge(s) laid against them.</w:t>
            </w:r>
          </w:p>
        </w:tc>
      </w:tr>
      <w:tr w:rsidR="00466311" w14:paraId="77C0613F" w14:textId="77777777" w:rsidTr="001708C1">
        <w:tc>
          <w:tcPr>
            <w:tcW w:w="2127" w:type="dxa"/>
          </w:tcPr>
          <w:p w14:paraId="4A9262DC" w14:textId="77777777" w:rsidR="00466311" w:rsidRPr="008C59C4" w:rsidRDefault="00466311" w:rsidP="001708C1">
            <w:pPr>
              <w:pStyle w:val="TableBodyText"/>
              <w:spacing w:before="40" w:after="0"/>
              <w:jc w:val="left"/>
              <w:rPr>
                <w:b/>
              </w:rPr>
            </w:pPr>
            <w:r w:rsidRPr="00AB35CF">
              <w:rPr>
                <w:b/>
              </w:rPr>
              <w:t>Armed robbery</w:t>
            </w:r>
          </w:p>
        </w:tc>
        <w:tc>
          <w:tcPr>
            <w:tcW w:w="6652" w:type="dxa"/>
          </w:tcPr>
          <w:p w14:paraId="6CE77EA4" w14:textId="3A873E8E" w:rsidR="00466311" w:rsidRPr="00AB35CF" w:rsidRDefault="00466311" w:rsidP="00CE07B6">
            <w:pPr>
              <w:pStyle w:val="TableBodyText"/>
              <w:jc w:val="left"/>
            </w:pPr>
            <w:r w:rsidRPr="00AB35CF">
              <w:t xml:space="preserve">Robbery conducted </w:t>
            </w:r>
            <w:r w:rsidR="00EB2DCE">
              <w:t xml:space="preserve">with </w:t>
            </w:r>
            <w:r w:rsidRPr="00AB35CF">
              <w:t>the use (actual or implied) of a weapon, where a weapon can include, but is not restricted to:</w:t>
            </w:r>
          </w:p>
          <w:p w14:paraId="07F248ED" w14:textId="77777777" w:rsidR="00466311" w:rsidRPr="00AB35CF" w:rsidRDefault="00466311" w:rsidP="00CE07B6">
            <w:pPr>
              <w:pStyle w:val="TableBullet"/>
            </w:pPr>
            <w:r w:rsidRPr="00AB35CF">
              <w:t>firearms — pistol, revolver, rifle, automatic/semiautomatic rifle, shotgun, military firearm, airgun, nail gun, cannon, imitation firearm and implied firearm</w:t>
            </w:r>
          </w:p>
          <w:p w14:paraId="74E45C93" w14:textId="77777777" w:rsidR="00466311" w:rsidRDefault="00466311" w:rsidP="00CE07B6">
            <w:pPr>
              <w:pStyle w:val="TableBullet"/>
            </w:pPr>
            <w:r w:rsidRPr="00AB35CF">
              <w:t>other weapons — knife, sharp instrument, blunt instrument, hammer, axe, club, iron bar, piece of wood, syringe/hypodermic needle, bow and arrow, crossbow, spear gun, blowgun, rope, wire, chemical, acid, explosive, vehicle, bottle/glass, other dangerous article and imitation weapons.</w:t>
            </w:r>
          </w:p>
        </w:tc>
      </w:tr>
      <w:tr w:rsidR="00466311" w14:paraId="4888879A" w14:textId="77777777" w:rsidTr="001708C1">
        <w:tc>
          <w:tcPr>
            <w:tcW w:w="2127" w:type="dxa"/>
          </w:tcPr>
          <w:p w14:paraId="2A5F92D1" w14:textId="77777777" w:rsidR="00466311" w:rsidRPr="008C59C4" w:rsidRDefault="00466311" w:rsidP="001708C1">
            <w:pPr>
              <w:pStyle w:val="TableBodyText"/>
              <w:spacing w:before="40" w:after="0"/>
              <w:jc w:val="left"/>
              <w:rPr>
                <w:b/>
              </w:rPr>
            </w:pPr>
            <w:r w:rsidRPr="00AB35CF">
              <w:rPr>
                <w:b/>
              </w:rPr>
              <w:t>Assault</w:t>
            </w:r>
          </w:p>
        </w:tc>
        <w:tc>
          <w:tcPr>
            <w:tcW w:w="6652" w:type="dxa"/>
          </w:tcPr>
          <w:p w14:paraId="2F90292E" w14:textId="77777777" w:rsidR="00466311" w:rsidRDefault="00466311" w:rsidP="00CE07B6">
            <w:pPr>
              <w:pStyle w:val="TableBodyText"/>
              <w:jc w:val="left"/>
            </w:pPr>
            <w:r w:rsidRPr="00AB35CF">
              <w:t>The direct (and immediate/confrontational) infliction of force, injury or violence on a person(s) or the direct (and immediate/confrontational) threat of force, injury or violence where there is an apprehension that the threat could be enacted.</w:t>
            </w:r>
          </w:p>
        </w:tc>
      </w:tr>
      <w:tr w:rsidR="00466311" w14:paraId="1BA4B9BA" w14:textId="77777777" w:rsidTr="001708C1">
        <w:tc>
          <w:tcPr>
            <w:tcW w:w="2127" w:type="dxa"/>
          </w:tcPr>
          <w:p w14:paraId="38C6FA22" w14:textId="50C930DB" w:rsidR="00466311" w:rsidRPr="008C59C4" w:rsidRDefault="00466311" w:rsidP="001708C1">
            <w:pPr>
              <w:pStyle w:val="TableBodyText"/>
              <w:spacing w:before="40" w:after="0"/>
              <w:jc w:val="left"/>
              <w:rPr>
                <w:b/>
              </w:rPr>
            </w:pPr>
            <w:r w:rsidRPr="00AB35CF">
              <w:rPr>
                <w:b/>
              </w:rPr>
              <w:t>Available full</w:t>
            </w:r>
            <w:r w:rsidR="008735A5">
              <w:rPr>
                <w:b/>
              </w:rPr>
              <w:noBreakHyphen/>
            </w:r>
            <w:r w:rsidRPr="00AB35CF">
              <w:rPr>
                <w:b/>
              </w:rPr>
              <w:t>time equivalent</w:t>
            </w:r>
            <w:r w:rsidR="00A726B9">
              <w:rPr>
                <w:b/>
              </w:rPr>
              <w:t xml:space="preserve"> </w:t>
            </w:r>
            <w:r w:rsidR="006A433A">
              <w:rPr>
                <w:b/>
              </w:rPr>
              <w:t xml:space="preserve">(FTE) </w:t>
            </w:r>
            <w:r w:rsidRPr="00AB35CF">
              <w:rPr>
                <w:b/>
              </w:rPr>
              <w:t>staff</w:t>
            </w:r>
          </w:p>
        </w:tc>
        <w:tc>
          <w:tcPr>
            <w:tcW w:w="6652" w:type="dxa"/>
          </w:tcPr>
          <w:p w14:paraId="4476C65D" w14:textId="5C1371F2" w:rsidR="00466311" w:rsidRDefault="00466311" w:rsidP="00CE07B6">
            <w:pPr>
              <w:pStyle w:val="TableBodyText"/>
              <w:jc w:val="left"/>
            </w:pPr>
            <w:r w:rsidRPr="00AB35CF">
              <w:t xml:space="preserve">Any </w:t>
            </w:r>
            <w:r w:rsidR="00A726B9">
              <w:t>FTE</w:t>
            </w:r>
            <w:r w:rsidRPr="00AB35CF">
              <w:t xml:space="preserve"> category where the individual is on duty performing a function. To be measured using average staffing level for the whole reporting period.</w:t>
            </w:r>
          </w:p>
        </w:tc>
      </w:tr>
      <w:tr w:rsidR="00466311" w14:paraId="45129767" w14:textId="77777777" w:rsidTr="001708C1">
        <w:tc>
          <w:tcPr>
            <w:tcW w:w="2127" w:type="dxa"/>
          </w:tcPr>
          <w:p w14:paraId="1975C32E" w14:textId="77777777" w:rsidR="00466311" w:rsidRPr="008C59C4" w:rsidRDefault="00466311" w:rsidP="001708C1">
            <w:pPr>
              <w:pStyle w:val="TableBodyText"/>
              <w:spacing w:before="40" w:after="0"/>
              <w:jc w:val="left"/>
              <w:rPr>
                <w:b/>
              </w:rPr>
            </w:pPr>
            <w:r w:rsidRPr="0054057B">
              <w:rPr>
                <w:b/>
              </w:rPr>
              <w:t>Cautioning</w:t>
            </w:r>
          </w:p>
        </w:tc>
        <w:tc>
          <w:tcPr>
            <w:tcW w:w="6652" w:type="dxa"/>
          </w:tcPr>
          <w:p w14:paraId="55CD6E70" w14:textId="77777777" w:rsidR="00466311" w:rsidRDefault="00466311" w:rsidP="00CE07B6">
            <w:pPr>
              <w:pStyle w:val="TableBodyText"/>
              <w:jc w:val="left"/>
            </w:pPr>
            <w:r w:rsidRPr="0054057B">
              <w:t>A formal method of dealing with young offenders without taking court proceedings. Police officers may caution young offenders instead of charging them if the offence or the circumstance of the offence is not serious.</w:t>
            </w:r>
          </w:p>
        </w:tc>
      </w:tr>
      <w:tr w:rsidR="00466311" w14:paraId="107FFB59" w14:textId="77777777" w:rsidTr="001708C1">
        <w:tc>
          <w:tcPr>
            <w:tcW w:w="2127" w:type="dxa"/>
          </w:tcPr>
          <w:p w14:paraId="754726A7" w14:textId="77777777" w:rsidR="00466311" w:rsidRPr="008C59C4" w:rsidRDefault="00466311" w:rsidP="001708C1">
            <w:pPr>
              <w:pStyle w:val="TableBodyText"/>
              <w:spacing w:before="40" w:after="0"/>
              <w:jc w:val="left"/>
              <w:rPr>
                <w:b/>
              </w:rPr>
            </w:pPr>
            <w:r w:rsidRPr="0054057B">
              <w:rPr>
                <w:b/>
              </w:rPr>
              <w:t>Civilian staff</w:t>
            </w:r>
          </w:p>
        </w:tc>
        <w:tc>
          <w:tcPr>
            <w:tcW w:w="6652" w:type="dxa"/>
          </w:tcPr>
          <w:p w14:paraId="45A2C583" w14:textId="599B7F54" w:rsidR="00466311" w:rsidRDefault="00466311" w:rsidP="00A1304A">
            <w:pPr>
              <w:pStyle w:val="TableBodyText"/>
              <w:jc w:val="left"/>
            </w:pPr>
            <w:r w:rsidRPr="0054057B">
              <w:t xml:space="preserve">Unsworn staff, including specialists </w:t>
            </w:r>
            <w:r w:rsidR="00A1304A">
              <w:t>a</w:t>
            </w:r>
            <w:r w:rsidRPr="0054057B">
              <w:t>nd civilian administrative and management staff.</w:t>
            </w:r>
          </w:p>
        </w:tc>
      </w:tr>
      <w:tr w:rsidR="00466311" w14:paraId="2915FB85" w14:textId="77777777" w:rsidTr="001708C1">
        <w:tc>
          <w:tcPr>
            <w:tcW w:w="2127" w:type="dxa"/>
          </w:tcPr>
          <w:p w14:paraId="18DA471F" w14:textId="77777777" w:rsidR="00466311" w:rsidRPr="0054057B" w:rsidRDefault="00466311" w:rsidP="001708C1">
            <w:pPr>
              <w:pStyle w:val="TableBodyText"/>
              <w:spacing w:before="40" w:after="0"/>
              <w:jc w:val="left"/>
              <w:rPr>
                <w:b/>
              </w:rPr>
            </w:pPr>
            <w:r w:rsidRPr="0054057B">
              <w:rPr>
                <w:b/>
              </w:rPr>
              <w:t>Complaints</w:t>
            </w:r>
          </w:p>
        </w:tc>
        <w:tc>
          <w:tcPr>
            <w:tcW w:w="6652" w:type="dxa"/>
          </w:tcPr>
          <w:p w14:paraId="08E7362C" w14:textId="77777777" w:rsidR="00466311" w:rsidRPr="0054057B" w:rsidRDefault="00466311" w:rsidP="00CE07B6">
            <w:pPr>
              <w:pStyle w:val="TableBodyText"/>
              <w:jc w:val="left"/>
            </w:pPr>
            <w:r w:rsidRPr="0054057B">
              <w:t>Number of statements of complaint by members of the public regarding police conduct.</w:t>
            </w:r>
          </w:p>
        </w:tc>
      </w:tr>
      <w:tr w:rsidR="00466311" w14:paraId="51187BC5" w14:textId="77777777" w:rsidTr="001708C1">
        <w:tc>
          <w:tcPr>
            <w:tcW w:w="2127" w:type="dxa"/>
          </w:tcPr>
          <w:p w14:paraId="4B5EE65F" w14:textId="77777777" w:rsidR="00466311" w:rsidRPr="0054057B" w:rsidRDefault="00466311" w:rsidP="001708C1">
            <w:pPr>
              <w:pStyle w:val="TableBodyText"/>
              <w:spacing w:before="40" w:after="0"/>
              <w:jc w:val="left"/>
              <w:rPr>
                <w:b/>
              </w:rPr>
            </w:pPr>
            <w:r w:rsidRPr="00AB35CF">
              <w:rPr>
                <w:b/>
              </w:rPr>
              <w:t>Depreciation</w:t>
            </w:r>
          </w:p>
        </w:tc>
        <w:tc>
          <w:tcPr>
            <w:tcW w:w="6652" w:type="dxa"/>
          </w:tcPr>
          <w:p w14:paraId="12B8A82D" w14:textId="653573FE" w:rsidR="00466311" w:rsidRPr="0054057B" w:rsidRDefault="006843B6" w:rsidP="00CE07B6">
            <w:pPr>
              <w:pStyle w:val="TableBodyText"/>
              <w:jc w:val="left"/>
            </w:pPr>
            <w:r>
              <w:t>T</w:t>
            </w:r>
            <w:r w:rsidRPr="002E2A5D">
              <w:t>he cost allocation of a physical asset over its useful life</w:t>
            </w:r>
            <w:r>
              <w:t xml:space="preserve">. </w:t>
            </w:r>
            <w:r w:rsidRPr="002E2A5D">
              <w:t xml:space="preserve">Where possible, </w:t>
            </w:r>
            <w:r>
              <w:t xml:space="preserve">this should be </w:t>
            </w:r>
            <w:r w:rsidRPr="002E2A5D">
              <w:t>based on current asset valuation</w:t>
            </w:r>
            <w:r>
              <w:t>.</w:t>
            </w:r>
          </w:p>
        </w:tc>
      </w:tr>
      <w:tr w:rsidR="00466311" w14:paraId="2D7D99FF" w14:textId="77777777" w:rsidTr="001708C1">
        <w:tc>
          <w:tcPr>
            <w:tcW w:w="2127" w:type="dxa"/>
          </w:tcPr>
          <w:p w14:paraId="335121F6" w14:textId="77777777" w:rsidR="00466311" w:rsidRPr="002C51D4" w:rsidRDefault="00466311" w:rsidP="001708C1">
            <w:pPr>
              <w:pStyle w:val="TableBodyText"/>
              <w:spacing w:before="40" w:after="0"/>
              <w:jc w:val="left"/>
              <w:rPr>
                <w:b/>
              </w:rPr>
            </w:pPr>
            <w:r w:rsidRPr="002C51D4">
              <w:rPr>
                <w:b/>
              </w:rPr>
              <w:t>Estimated resident population (ERP)</w:t>
            </w:r>
          </w:p>
        </w:tc>
        <w:tc>
          <w:tcPr>
            <w:tcW w:w="6652" w:type="dxa"/>
          </w:tcPr>
          <w:p w14:paraId="4A90BBB3" w14:textId="7A12A599" w:rsidR="00466311" w:rsidRPr="002C51D4" w:rsidRDefault="00466311" w:rsidP="00CE07B6">
            <w:pPr>
              <w:pStyle w:val="TableBodyText"/>
              <w:jc w:val="left"/>
            </w:pPr>
            <w:r w:rsidRPr="002C51D4">
              <w:t>The official Australian Bureau of Statistics estimate of the Australian population. The ERP is derived from the 5</w:t>
            </w:r>
            <w:r w:rsidR="008735A5">
              <w:noBreakHyphen/>
            </w:r>
            <w:r w:rsidRPr="002C51D4">
              <w:t xml:space="preserve">yearly Census </w:t>
            </w:r>
            <w:r w:rsidR="0041556E" w:rsidRPr="002C51D4">
              <w:t>counts and</w:t>
            </w:r>
            <w:r w:rsidRPr="002C51D4">
              <w:t xml:space="preserve"> is updated quarterly between censuses. It is based on the usual residence of the person.</w:t>
            </w:r>
          </w:p>
        </w:tc>
      </w:tr>
      <w:tr w:rsidR="004C62E4" w14:paraId="27DB9B39" w14:textId="77777777" w:rsidTr="001708C1">
        <w:tc>
          <w:tcPr>
            <w:tcW w:w="2127" w:type="dxa"/>
          </w:tcPr>
          <w:p w14:paraId="446FC23B" w14:textId="01F7AC7F" w:rsidR="004C62E4" w:rsidRPr="002C51D4" w:rsidRDefault="004C62E4" w:rsidP="001708C1">
            <w:pPr>
              <w:pStyle w:val="TableBodyText"/>
              <w:spacing w:before="40" w:after="0"/>
              <w:jc w:val="left"/>
              <w:rPr>
                <w:b/>
              </w:rPr>
            </w:pPr>
            <w:r w:rsidRPr="002C51D4">
              <w:rPr>
                <w:b/>
              </w:rPr>
              <w:t>Guilty ex</w:t>
            </w:r>
            <w:r w:rsidR="008735A5">
              <w:rPr>
                <w:b/>
              </w:rPr>
              <w:noBreakHyphen/>
            </w:r>
            <w:r w:rsidRPr="002C51D4">
              <w:rPr>
                <w:b/>
              </w:rPr>
              <w:t>parte</w:t>
            </w:r>
          </w:p>
        </w:tc>
        <w:tc>
          <w:tcPr>
            <w:tcW w:w="6652" w:type="dxa"/>
          </w:tcPr>
          <w:p w14:paraId="0E7B3637" w14:textId="4E0BECAE" w:rsidR="004C62E4" w:rsidRPr="002C51D4" w:rsidRDefault="004C62E4" w:rsidP="00CE07B6">
            <w:pPr>
              <w:pStyle w:val="TableBodyText"/>
              <w:jc w:val="left"/>
            </w:pPr>
            <w:r w:rsidRPr="002C51D4">
              <w:t>A determination of guilt made by the court, in the absence of the defendant, based on the evidence presented in relation to a criminal charge(s).</w:t>
            </w:r>
          </w:p>
        </w:tc>
      </w:tr>
      <w:tr w:rsidR="00466311" w14:paraId="68ECE1DD" w14:textId="77777777" w:rsidTr="001708C1">
        <w:tc>
          <w:tcPr>
            <w:tcW w:w="2127" w:type="dxa"/>
          </w:tcPr>
          <w:p w14:paraId="4689888E" w14:textId="661E655A" w:rsidR="00466311" w:rsidRPr="00AB35CF" w:rsidRDefault="00466311" w:rsidP="001708C1">
            <w:pPr>
              <w:pStyle w:val="TableBodyText"/>
              <w:spacing w:before="40" w:after="0"/>
              <w:jc w:val="left"/>
              <w:rPr>
                <w:b/>
              </w:rPr>
            </w:pPr>
            <w:r w:rsidRPr="00AB35CF">
              <w:rPr>
                <w:b/>
              </w:rPr>
              <w:t>Full</w:t>
            </w:r>
            <w:r w:rsidR="008735A5">
              <w:rPr>
                <w:b/>
              </w:rPr>
              <w:noBreakHyphen/>
            </w:r>
            <w:r w:rsidRPr="00AB35CF">
              <w:rPr>
                <w:b/>
              </w:rPr>
              <w:t>time equivalent (FTE)</w:t>
            </w:r>
          </w:p>
        </w:tc>
        <w:tc>
          <w:tcPr>
            <w:tcW w:w="6652" w:type="dxa"/>
          </w:tcPr>
          <w:p w14:paraId="25487CEA" w14:textId="4B04EE37" w:rsidR="00466311" w:rsidRPr="00AB35CF" w:rsidRDefault="00466311" w:rsidP="00CE07B6">
            <w:pPr>
              <w:pStyle w:val="TableBodyText"/>
              <w:jc w:val="left"/>
            </w:pPr>
            <w:r w:rsidRPr="00AB35CF">
              <w:t xml:space="preserve">The equivalent number of </w:t>
            </w:r>
            <w:r w:rsidR="0041556E" w:rsidRPr="00AB35CF">
              <w:t>full</w:t>
            </w:r>
            <w:r w:rsidR="008735A5">
              <w:noBreakHyphen/>
            </w:r>
            <w:r w:rsidR="0041556E" w:rsidRPr="00AB35CF">
              <w:t>time</w:t>
            </w:r>
            <w:r w:rsidRPr="00AB35CF">
              <w:t xml:space="preserve"> staff required to provide the same hours of work as performed by staff actually employed. A </w:t>
            </w:r>
            <w:r w:rsidR="0041556E" w:rsidRPr="00AB35CF">
              <w:t>full</w:t>
            </w:r>
            <w:r w:rsidR="008735A5">
              <w:noBreakHyphen/>
            </w:r>
            <w:r w:rsidR="0041556E" w:rsidRPr="00AB35CF">
              <w:t>time</w:t>
            </w:r>
            <w:r w:rsidRPr="00AB35CF">
              <w:t xml:space="preserve"> staff member is equivalent to a </w:t>
            </w:r>
            <w:r w:rsidR="00A726B9">
              <w:t>FTE</w:t>
            </w:r>
            <w:r w:rsidRPr="00AB35CF">
              <w:t xml:space="preserve"> of one, while a part time staff member is greater than zero but less than one.</w:t>
            </w:r>
          </w:p>
        </w:tc>
      </w:tr>
      <w:tr w:rsidR="00833CA3" w14:paraId="63603D70" w14:textId="77777777" w:rsidTr="001708C1">
        <w:tc>
          <w:tcPr>
            <w:tcW w:w="2127" w:type="dxa"/>
          </w:tcPr>
          <w:p w14:paraId="39F8582E" w14:textId="5C279121" w:rsidR="00833CA3" w:rsidRDefault="00833CA3" w:rsidP="00833CA3">
            <w:pPr>
              <w:pStyle w:val="TableBodyText"/>
              <w:spacing w:before="40" w:after="0"/>
              <w:jc w:val="left"/>
              <w:rPr>
                <w:b/>
              </w:rPr>
            </w:pPr>
            <w:r w:rsidRPr="000A2D4F">
              <w:rPr>
                <w:b/>
              </w:rPr>
              <w:t>Homicide</w:t>
            </w:r>
            <w:r w:rsidR="00181922" w:rsidRPr="000A2D4F">
              <w:rPr>
                <w:b/>
              </w:rPr>
              <w:t xml:space="preserve"> and</w:t>
            </w:r>
            <w:r w:rsidR="00557360">
              <w:rPr>
                <w:b/>
              </w:rPr>
              <w:t xml:space="preserve"> </w:t>
            </w:r>
            <w:r w:rsidR="00181922" w:rsidRPr="000A2D4F">
              <w:rPr>
                <w:b/>
              </w:rPr>
              <w:t>related offences</w:t>
            </w:r>
          </w:p>
        </w:tc>
        <w:tc>
          <w:tcPr>
            <w:tcW w:w="6652" w:type="dxa"/>
          </w:tcPr>
          <w:p w14:paraId="075BAF49" w14:textId="2EBE1B1D" w:rsidR="00833CA3" w:rsidRPr="00C40348" w:rsidRDefault="00833CA3" w:rsidP="00CE07B6">
            <w:pPr>
              <w:pStyle w:val="TableBodyText"/>
              <w:jc w:val="left"/>
            </w:pPr>
            <w:r w:rsidRPr="000A2D4F">
              <w:t xml:space="preserve">The </w:t>
            </w:r>
            <w:r w:rsidR="009C09AB" w:rsidRPr="000A2D4F">
              <w:t xml:space="preserve">unlawful </w:t>
            </w:r>
            <w:r w:rsidRPr="000A2D4F">
              <w:t xml:space="preserve">killing or </w:t>
            </w:r>
            <w:r w:rsidR="009C09AB" w:rsidRPr="000A2D4F">
              <w:t xml:space="preserve">the attempted unlawful killing </w:t>
            </w:r>
            <w:r w:rsidR="006B2770" w:rsidRPr="000A2D4F">
              <w:t>of another person</w:t>
            </w:r>
            <w:r w:rsidRPr="000A2D4F">
              <w:t>.</w:t>
            </w:r>
            <w:r w:rsidR="006748B5" w:rsidRPr="000A2D4F">
              <w:t xml:space="preserve"> Includes </w:t>
            </w:r>
            <w:r w:rsidR="0033362A" w:rsidRPr="000A2D4F">
              <w:t>murder</w:t>
            </w:r>
            <w:r w:rsidR="006748B5" w:rsidRPr="000A2D4F">
              <w:t xml:space="preserve">, </w:t>
            </w:r>
            <w:r w:rsidR="00C440E0" w:rsidRPr="000A2D4F">
              <w:t xml:space="preserve">attempted murder and </w:t>
            </w:r>
            <w:r w:rsidR="006748B5" w:rsidRPr="000A2D4F">
              <w:t>manslaughter</w:t>
            </w:r>
            <w:r w:rsidR="00C440E0" w:rsidRPr="000A2D4F">
              <w:t>. Excludes driving causing death.</w:t>
            </w:r>
          </w:p>
        </w:tc>
      </w:tr>
      <w:tr w:rsidR="00466311" w14:paraId="29E84D34" w14:textId="77777777" w:rsidTr="001708C1">
        <w:tc>
          <w:tcPr>
            <w:tcW w:w="2127" w:type="dxa"/>
          </w:tcPr>
          <w:p w14:paraId="00CF958B" w14:textId="7B52A790" w:rsidR="00466311" w:rsidRDefault="00466311" w:rsidP="001708C1">
            <w:pPr>
              <w:pStyle w:val="TableBodyText"/>
              <w:spacing w:before="40" w:after="0"/>
              <w:jc w:val="left"/>
              <w:rPr>
                <w:b/>
              </w:rPr>
            </w:pPr>
            <w:r>
              <w:rPr>
                <w:b/>
              </w:rPr>
              <w:t>Magistrates</w:t>
            </w:r>
            <w:r w:rsidR="009824EA">
              <w:rPr>
                <w:b/>
              </w:rPr>
              <w:t>’</w:t>
            </w:r>
            <w:r>
              <w:rPr>
                <w:b/>
              </w:rPr>
              <w:t xml:space="preserve"> court d</w:t>
            </w:r>
            <w:r w:rsidR="009824EA">
              <w:rPr>
                <w:b/>
              </w:rPr>
              <w:t>ecisions</w:t>
            </w:r>
            <w:r>
              <w:rPr>
                <w:b/>
              </w:rPr>
              <w:t xml:space="preserve"> resulting in guilty </w:t>
            </w:r>
            <w:r w:rsidR="009824EA">
              <w:rPr>
                <w:b/>
              </w:rPr>
              <w:t>outcome for defendants</w:t>
            </w:r>
          </w:p>
        </w:tc>
        <w:tc>
          <w:tcPr>
            <w:tcW w:w="6652" w:type="dxa"/>
          </w:tcPr>
          <w:p w14:paraId="36A8AA19" w14:textId="5C4C86F6" w:rsidR="00466311" w:rsidRPr="00411085" w:rsidRDefault="00466311" w:rsidP="00CE07B6">
            <w:pPr>
              <w:pStyle w:val="TableBodyText"/>
              <w:jc w:val="left"/>
            </w:pPr>
            <w:r w:rsidRPr="00411085">
              <w:t xml:space="preserve">Defendants who had their case(s) (excluding committal hearings) adjudicated by the Magistrates’ </w:t>
            </w:r>
            <w:r w:rsidR="00697299">
              <w:t>c</w:t>
            </w:r>
            <w:r w:rsidRPr="00411085">
              <w:t>ourts where these resulted in a guilty plea or finding.</w:t>
            </w:r>
          </w:p>
          <w:p w14:paraId="7F924830" w14:textId="77777777" w:rsidR="00466311" w:rsidRPr="00411085" w:rsidRDefault="00466311" w:rsidP="00CE07B6">
            <w:pPr>
              <w:pStyle w:val="TableBodyText"/>
              <w:jc w:val="left"/>
            </w:pPr>
            <w:r w:rsidRPr="00411085">
              <w:t>A guilty plea is the formal statement by a defendant admitting culpability in relation to a criminal charge. A not guilty plea is the formal statement by a defendant denying culpability in relation to a charge. For this data collection, a plea of ‘not guilty’ should also include ‘no plea’, ‘plea reserved’ and ‘other defended plea’.</w:t>
            </w:r>
          </w:p>
        </w:tc>
      </w:tr>
      <w:tr w:rsidR="00466311" w14:paraId="7114D6BB" w14:textId="77777777" w:rsidTr="001708C1">
        <w:tc>
          <w:tcPr>
            <w:tcW w:w="2127" w:type="dxa"/>
          </w:tcPr>
          <w:p w14:paraId="4FE68FCB" w14:textId="77777777" w:rsidR="00466311" w:rsidRPr="00AB35CF" w:rsidRDefault="00466311" w:rsidP="001708C1">
            <w:pPr>
              <w:pStyle w:val="TableBodyText"/>
              <w:keepNext w:val="0"/>
              <w:keepLines w:val="0"/>
              <w:spacing w:after="0"/>
              <w:jc w:val="left"/>
              <w:rPr>
                <w:b/>
              </w:rPr>
            </w:pPr>
          </w:p>
        </w:tc>
        <w:tc>
          <w:tcPr>
            <w:tcW w:w="6652" w:type="dxa"/>
          </w:tcPr>
          <w:p w14:paraId="5B2738A9" w14:textId="77777777" w:rsidR="00466311" w:rsidRPr="00411085" w:rsidRDefault="00466311" w:rsidP="001708C1">
            <w:pPr>
              <w:pStyle w:val="TableBodyText"/>
              <w:keepNext w:val="0"/>
              <w:keepLines w:val="0"/>
              <w:spacing w:after="0"/>
              <w:ind w:right="28"/>
              <w:jc w:val="left"/>
            </w:pPr>
            <w:r w:rsidRPr="00411085">
              <w:t>Further, these definitions:</w:t>
            </w:r>
          </w:p>
          <w:p w14:paraId="0AB5840A" w14:textId="77777777" w:rsidR="00466311" w:rsidRPr="00411085" w:rsidRDefault="00466311" w:rsidP="00CE07B6">
            <w:pPr>
              <w:pStyle w:val="TableBullet"/>
            </w:pPr>
            <w:r w:rsidRPr="00411085">
              <w:t>exclude preliminary (committal) hearings for indictable offences dealt with by a lower court</w:t>
            </w:r>
          </w:p>
          <w:p w14:paraId="70972289" w14:textId="77777777" w:rsidR="00466311" w:rsidRPr="00411085" w:rsidRDefault="00466311" w:rsidP="00CE07B6">
            <w:pPr>
              <w:pStyle w:val="TableBullet"/>
            </w:pPr>
            <w:r w:rsidRPr="00411085">
              <w:t>count cases that involve multiple charges as a ‘lower court case resulting in a plea of guilty’ if a plea of guilty has resulted for at least one of those charges.</w:t>
            </w:r>
          </w:p>
        </w:tc>
      </w:tr>
      <w:tr w:rsidR="00466311" w14:paraId="47ED78CF" w14:textId="77777777" w:rsidTr="001708C1">
        <w:tc>
          <w:tcPr>
            <w:tcW w:w="2127" w:type="dxa"/>
          </w:tcPr>
          <w:p w14:paraId="477EB29A" w14:textId="77777777" w:rsidR="00466311" w:rsidRPr="0001409F" w:rsidRDefault="00466311" w:rsidP="0001409F">
            <w:pPr>
              <w:pStyle w:val="TableBodyText"/>
              <w:jc w:val="left"/>
              <w:rPr>
                <w:b/>
              </w:rPr>
            </w:pPr>
            <w:r w:rsidRPr="0001409F">
              <w:rPr>
                <w:b/>
              </w:rPr>
              <w:lastRenderedPageBreak/>
              <w:t>Motor vehicle theft</w:t>
            </w:r>
          </w:p>
        </w:tc>
        <w:tc>
          <w:tcPr>
            <w:tcW w:w="6652" w:type="dxa"/>
          </w:tcPr>
          <w:p w14:paraId="6296A2B9" w14:textId="415A8709" w:rsidR="00466311" w:rsidRPr="00AB35CF" w:rsidRDefault="00466311" w:rsidP="001708C1">
            <w:pPr>
              <w:pStyle w:val="TableBodyText"/>
              <w:keepNext w:val="0"/>
              <w:keepLines w:val="0"/>
              <w:spacing w:before="40" w:after="0"/>
              <w:jc w:val="left"/>
            </w:pPr>
            <w:r w:rsidRPr="00AB35CF">
              <w:t>The taking of another person’s motor vehicle illegally and without permission.</w:t>
            </w:r>
            <w:r w:rsidR="00A37700" w:rsidRPr="00A37700">
              <w:t xml:space="preserve"> </w:t>
            </w:r>
            <w:r w:rsidR="001A74D7" w:rsidRPr="0038765E">
              <w:t xml:space="preserve">It </w:t>
            </w:r>
            <w:r w:rsidR="000B2F78" w:rsidRPr="0038765E">
              <w:t>i</w:t>
            </w:r>
            <w:r w:rsidR="00A37700" w:rsidRPr="0038765E">
              <w:t>ncludes privately owned vehicles and excludes vehicles used mainly for commercial business/business purposes.</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6.4 Definitions of key terms &#10;&#10;Table with key terms&#10;&#10;More details can be found within the text surrounding this image."/>
      </w:tblPr>
      <w:tblGrid>
        <w:gridCol w:w="2127"/>
        <w:gridCol w:w="6652"/>
      </w:tblGrid>
      <w:tr w:rsidR="00466311" w:rsidRPr="00AB35CF" w14:paraId="1B403AC2" w14:textId="77777777" w:rsidTr="001708C1">
        <w:tc>
          <w:tcPr>
            <w:tcW w:w="2127" w:type="dxa"/>
          </w:tcPr>
          <w:p w14:paraId="46FAB660" w14:textId="4700FD04" w:rsidR="00466311" w:rsidRPr="00AB35CF" w:rsidRDefault="00466311" w:rsidP="001708C1">
            <w:pPr>
              <w:pStyle w:val="TableBodyText"/>
              <w:keepNext w:val="0"/>
              <w:keepLines w:val="0"/>
              <w:spacing w:before="40" w:after="0"/>
              <w:jc w:val="left"/>
              <w:rPr>
                <w:b/>
              </w:rPr>
            </w:pPr>
            <w:bookmarkStart w:id="29" w:name="_Toc21072043"/>
            <w:r w:rsidRPr="00AB35CF">
              <w:rPr>
                <w:b/>
              </w:rPr>
              <w:t>Non</w:t>
            </w:r>
            <w:r w:rsidR="00A1304A">
              <w:rPr>
                <w:b/>
              </w:rPr>
              <w:noBreakHyphen/>
            </w:r>
            <w:r>
              <w:rPr>
                <w:b/>
              </w:rPr>
              <w:t>Indigenous</w:t>
            </w:r>
            <w:r w:rsidRPr="00AB35CF">
              <w:rPr>
                <w:b/>
              </w:rPr>
              <w:t xml:space="preserve"> full</w:t>
            </w:r>
            <w:r w:rsidR="008E7547">
              <w:rPr>
                <w:b/>
              </w:rPr>
              <w:noBreakHyphen/>
            </w:r>
            <w:r w:rsidRPr="00AB35CF">
              <w:rPr>
                <w:b/>
              </w:rPr>
              <w:t>time equivalent staff</w:t>
            </w:r>
          </w:p>
        </w:tc>
        <w:tc>
          <w:tcPr>
            <w:tcW w:w="6652" w:type="dxa"/>
          </w:tcPr>
          <w:p w14:paraId="1B335493" w14:textId="32416707" w:rsidR="00466311" w:rsidRPr="00AB35CF" w:rsidRDefault="00466311" w:rsidP="001708C1">
            <w:pPr>
              <w:pStyle w:val="TableBodyText"/>
              <w:keepNext w:val="0"/>
              <w:keepLines w:val="0"/>
              <w:spacing w:before="40" w:after="0"/>
              <w:jc w:val="left"/>
            </w:pPr>
            <w:r w:rsidRPr="00AB35CF">
              <w:t xml:space="preserve">Number of </w:t>
            </w:r>
            <w:r w:rsidR="006E5A39">
              <w:t>full</w:t>
            </w:r>
            <w:r w:rsidR="008735A5">
              <w:noBreakHyphen/>
            </w:r>
            <w:r w:rsidR="006E5A39">
              <w:t>time equivalent</w:t>
            </w:r>
            <w:r w:rsidRPr="00AB35CF">
              <w:t xml:space="preserve"> staff who do not satisfy the </w:t>
            </w:r>
            <w:r>
              <w:t>Aboriginal and Torres Strait Islander</w:t>
            </w:r>
            <w:r w:rsidRPr="00AB35CF">
              <w:t xml:space="preserve"> staff criteria.</w:t>
            </w:r>
          </w:p>
        </w:tc>
      </w:tr>
      <w:tr w:rsidR="00466311" w:rsidRPr="00AB35CF" w14:paraId="399C02D8" w14:textId="77777777" w:rsidTr="001708C1">
        <w:tc>
          <w:tcPr>
            <w:tcW w:w="2127" w:type="dxa"/>
          </w:tcPr>
          <w:p w14:paraId="0A1AF687" w14:textId="1AE464F0" w:rsidR="00466311" w:rsidRPr="00AB35CF" w:rsidRDefault="00466311" w:rsidP="001708C1">
            <w:pPr>
              <w:pStyle w:val="TableBodyText"/>
              <w:keepNext w:val="0"/>
              <w:keepLines w:val="0"/>
              <w:spacing w:before="40" w:after="0"/>
              <w:jc w:val="left"/>
              <w:rPr>
                <w:b/>
              </w:rPr>
            </w:pPr>
            <w:r w:rsidRPr="00AB35CF">
              <w:rPr>
                <w:b/>
              </w:rPr>
              <w:t>Non</w:t>
            </w:r>
            <w:r>
              <w:rPr>
                <w:b/>
              </w:rPr>
              <w:noBreakHyphen/>
            </w:r>
            <w:r w:rsidRPr="00AB35CF">
              <w:rPr>
                <w:b/>
              </w:rPr>
              <w:t>operational full</w:t>
            </w:r>
            <w:r w:rsidR="008E7547">
              <w:rPr>
                <w:b/>
              </w:rPr>
              <w:noBreakHyphen/>
            </w:r>
            <w:r w:rsidRPr="00AB35CF">
              <w:rPr>
                <w:b/>
              </w:rPr>
              <w:t>time equivalent staff</w:t>
            </w:r>
          </w:p>
        </w:tc>
        <w:tc>
          <w:tcPr>
            <w:tcW w:w="6652" w:type="dxa"/>
          </w:tcPr>
          <w:p w14:paraId="4770488C" w14:textId="1574BC81" w:rsidR="00466311" w:rsidRPr="00536E8D" w:rsidRDefault="00466311" w:rsidP="00536E8D">
            <w:pPr>
              <w:pStyle w:val="TableBodyText"/>
              <w:jc w:val="left"/>
            </w:pPr>
            <w:r w:rsidRPr="00536E8D">
              <w:t xml:space="preserve">Any person who does not satisfy the operational staff criteria, including functional support staff only. Functional support </w:t>
            </w:r>
            <w:r w:rsidR="006E5A39">
              <w:t>full</w:t>
            </w:r>
            <w:r w:rsidR="008735A5">
              <w:noBreakHyphen/>
            </w:r>
            <w:r w:rsidR="006E5A39">
              <w:t>time equivalent</w:t>
            </w:r>
            <w:r w:rsidRPr="00536E8D">
              <w:t xml:space="preserve"> staff include</w:t>
            </w:r>
            <w:r w:rsidR="00A1304A">
              <w:t>s</w:t>
            </w:r>
            <w:r w:rsidRPr="00536E8D">
              <w:t xml:space="preserve"> any person (sworn or unsworn) not satisfying the operational or operational support staff criteria (for example, finance, policy, research, personnel services, building and property services, transport services, and management above the level of station and shift supervisors).</w:t>
            </w:r>
          </w:p>
        </w:tc>
      </w:tr>
      <w:tr w:rsidR="00466311" w:rsidRPr="00AB35CF" w14:paraId="0D9FB3BA" w14:textId="77777777" w:rsidTr="001708C1">
        <w:tc>
          <w:tcPr>
            <w:tcW w:w="2127" w:type="dxa"/>
          </w:tcPr>
          <w:p w14:paraId="3125E618" w14:textId="77777777" w:rsidR="00466311" w:rsidRPr="00AB35CF" w:rsidRDefault="00466311" w:rsidP="001708C1">
            <w:pPr>
              <w:pStyle w:val="TableBodyText"/>
              <w:keepNext w:val="0"/>
              <w:keepLines w:val="0"/>
              <w:spacing w:before="40" w:after="0"/>
              <w:jc w:val="left"/>
              <w:rPr>
                <w:b/>
              </w:rPr>
            </w:pPr>
            <w:r w:rsidRPr="004D0B4C">
              <w:rPr>
                <w:b/>
                <w:color w:val="000000" w:themeColor="text1"/>
              </w:rPr>
              <w:t>Offender</w:t>
            </w:r>
          </w:p>
        </w:tc>
        <w:tc>
          <w:tcPr>
            <w:tcW w:w="6652" w:type="dxa"/>
          </w:tcPr>
          <w:p w14:paraId="15F90774" w14:textId="6BE126A5" w:rsidR="00466311" w:rsidRPr="00536E8D" w:rsidRDefault="00536E8D" w:rsidP="00536E8D">
            <w:pPr>
              <w:pStyle w:val="TableBodyText"/>
              <w:jc w:val="left"/>
            </w:pPr>
            <w:r>
              <w:t>A</w:t>
            </w:r>
            <w:r w:rsidRPr="00536E8D">
              <w:t xml:space="preserve"> person who is alleged to have committed an offence</w:t>
            </w:r>
            <w:r>
              <w:t xml:space="preserve">. It </w:t>
            </w:r>
            <w:r w:rsidRPr="00536E8D">
              <w:t>differs from the definition used in section</w:t>
            </w:r>
            <w:r w:rsidR="008D44F2">
              <w:t> </w:t>
            </w:r>
            <w:r w:rsidRPr="00536E8D">
              <w:t>8 (‘Corrective services’), where the term ‘offender’ refers to a person who has been convicted of an offence and is subject to a correctional sentence</w:t>
            </w:r>
            <w:r w:rsidR="00466311" w:rsidRPr="00536E8D">
              <w:t>.</w:t>
            </w:r>
          </w:p>
        </w:tc>
      </w:tr>
      <w:tr w:rsidR="00466311" w:rsidRPr="004D0B4C" w14:paraId="463C88C9" w14:textId="77777777" w:rsidTr="001708C1">
        <w:tc>
          <w:tcPr>
            <w:tcW w:w="2127" w:type="dxa"/>
          </w:tcPr>
          <w:p w14:paraId="42BE9E18" w14:textId="77777777" w:rsidR="00466311" w:rsidRPr="004D0B4C" w:rsidRDefault="00466311" w:rsidP="001708C1">
            <w:pPr>
              <w:pStyle w:val="TableBodyText"/>
              <w:keepNext w:val="0"/>
              <w:keepLines w:val="0"/>
              <w:spacing w:before="40" w:after="0"/>
              <w:jc w:val="left"/>
              <w:rPr>
                <w:b/>
                <w:color w:val="000000" w:themeColor="text1"/>
              </w:rPr>
            </w:pPr>
            <w:r w:rsidRPr="00AB35CF">
              <w:rPr>
                <w:b/>
              </w:rPr>
              <w:t>Operational staff</w:t>
            </w:r>
          </w:p>
        </w:tc>
        <w:tc>
          <w:tcPr>
            <w:tcW w:w="6652" w:type="dxa"/>
          </w:tcPr>
          <w:p w14:paraId="6304B264" w14:textId="5C26E394" w:rsidR="00466311" w:rsidRPr="004D0B4C" w:rsidRDefault="00466311" w:rsidP="00BD2596">
            <w:pPr>
              <w:pStyle w:val="TableBodyText"/>
              <w:keepNext w:val="0"/>
              <w:keepLines w:val="0"/>
              <w:spacing w:before="40" w:after="0"/>
              <w:jc w:val="left"/>
              <w:rPr>
                <w:color w:val="000000" w:themeColor="text1"/>
              </w:rPr>
            </w:pPr>
            <w:r w:rsidRPr="00AB35CF">
              <w:t>An operational police staff member (sworn or unsworn) is any member of the police force whose primar</w:t>
            </w:r>
            <w:r w:rsidR="00BD2596">
              <w:t xml:space="preserve">y </w:t>
            </w:r>
            <w:r w:rsidRPr="00AB35CF">
              <w:t xml:space="preserve">duty is the delivery of police or police related services to an external customer (where an external customer predominately refers to members of the public but may also include law enforcement outputs delivered to other government departments). Operational staff </w:t>
            </w:r>
            <w:r w:rsidR="0041556E" w:rsidRPr="00AB35CF">
              <w:t>include</w:t>
            </w:r>
            <w:r w:rsidRPr="00AB35CF">
              <w:t xml:space="preserve"> general duties officers, investigators, traffic operatives, tactical officers, station counter staff, communication officers, crime scene staff, disaster victim identification, and prosecution and judicial support officers.</w:t>
            </w:r>
          </w:p>
        </w:tc>
      </w:tr>
      <w:tr w:rsidR="00466311" w:rsidRPr="00AB35CF" w14:paraId="1C365BC3" w14:textId="77777777" w:rsidTr="001708C1">
        <w:tc>
          <w:tcPr>
            <w:tcW w:w="2127" w:type="dxa"/>
          </w:tcPr>
          <w:p w14:paraId="1B58546C" w14:textId="77777777" w:rsidR="00466311" w:rsidRPr="00AB35CF" w:rsidRDefault="00466311" w:rsidP="001708C1">
            <w:pPr>
              <w:pStyle w:val="TableBodyText"/>
              <w:keepNext w:val="0"/>
              <w:keepLines w:val="0"/>
              <w:spacing w:before="40" w:after="0"/>
              <w:jc w:val="left"/>
              <w:rPr>
                <w:b/>
              </w:rPr>
            </w:pPr>
            <w:r w:rsidRPr="00AB35CF">
              <w:rPr>
                <w:b/>
              </w:rPr>
              <w:t>Other recurrent expenditure</w:t>
            </w:r>
          </w:p>
        </w:tc>
        <w:tc>
          <w:tcPr>
            <w:tcW w:w="6652" w:type="dxa"/>
          </w:tcPr>
          <w:p w14:paraId="26AB7F10" w14:textId="77777777" w:rsidR="00466311" w:rsidRPr="00AB35CF" w:rsidRDefault="00466311" w:rsidP="001708C1">
            <w:pPr>
              <w:pStyle w:val="TableBodyText"/>
              <w:keepNext w:val="0"/>
              <w:keepLines w:val="0"/>
              <w:spacing w:before="40" w:after="0"/>
              <w:jc w:val="left"/>
            </w:pPr>
            <w:r w:rsidRPr="00AB35CF">
              <w:t>Maintenance and working expenses; expenditure incurred by other departments on behalf of police; expenditure on contracted police services; and other recurrent costs not elsewhere classified. Expenditure is disaggregated by service delivery area.</w:t>
            </w:r>
          </w:p>
        </w:tc>
      </w:tr>
      <w:tr w:rsidR="00466311" w:rsidRPr="00AB35CF" w14:paraId="5487CE48" w14:textId="77777777" w:rsidTr="001708C1">
        <w:tc>
          <w:tcPr>
            <w:tcW w:w="2127" w:type="dxa"/>
          </w:tcPr>
          <w:p w14:paraId="6C6AFE3C" w14:textId="77777777" w:rsidR="00466311" w:rsidRPr="00AB35CF" w:rsidRDefault="00466311" w:rsidP="001708C1">
            <w:pPr>
              <w:pStyle w:val="TableBodyText"/>
              <w:keepNext w:val="0"/>
              <w:keepLines w:val="0"/>
              <w:spacing w:before="40" w:after="0"/>
              <w:jc w:val="left"/>
              <w:rPr>
                <w:b/>
              </w:rPr>
            </w:pPr>
            <w:r w:rsidRPr="00AB35CF">
              <w:rPr>
                <w:b/>
              </w:rPr>
              <w:t>Other theft</w:t>
            </w:r>
          </w:p>
        </w:tc>
        <w:tc>
          <w:tcPr>
            <w:tcW w:w="6652" w:type="dxa"/>
          </w:tcPr>
          <w:p w14:paraId="5FA83F0D" w14:textId="77777777" w:rsidR="00466311" w:rsidRPr="00AB35CF" w:rsidRDefault="00466311" w:rsidP="001708C1">
            <w:pPr>
              <w:pStyle w:val="TableBodyText"/>
              <w:keepNext w:val="0"/>
              <w:keepLines w:val="0"/>
              <w:spacing w:before="40" w:after="0"/>
              <w:jc w:val="left"/>
            </w:pPr>
            <w:r w:rsidRPr="00AB35CF">
              <w:t>The taking of another person’s property with the intention of depriving the owner of the property illegally and without permission, but without force, threat of force, use of coercive measures, deceit or having gained unlawful entry to any structure, even if the intent was to commit theft.</w:t>
            </w:r>
          </w:p>
        </w:tc>
      </w:tr>
      <w:tr w:rsidR="00466311" w:rsidRPr="00AB35CF" w14:paraId="39E49C9F" w14:textId="77777777" w:rsidTr="001708C1">
        <w:tc>
          <w:tcPr>
            <w:tcW w:w="2127" w:type="dxa"/>
          </w:tcPr>
          <w:p w14:paraId="790183F5" w14:textId="77777777" w:rsidR="00466311" w:rsidRPr="00AB35CF" w:rsidRDefault="00466311" w:rsidP="001708C1">
            <w:pPr>
              <w:pStyle w:val="TableBodyText"/>
              <w:keepNext w:val="0"/>
              <w:keepLines w:val="0"/>
              <w:spacing w:before="40" w:after="0"/>
              <w:jc w:val="left"/>
              <w:rPr>
                <w:b/>
              </w:rPr>
            </w:pPr>
            <w:r w:rsidRPr="00AB35CF">
              <w:rPr>
                <w:b/>
              </w:rPr>
              <w:t>Outcome of investigations</w:t>
            </w:r>
          </w:p>
        </w:tc>
        <w:tc>
          <w:tcPr>
            <w:tcW w:w="6652" w:type="dxa"/>
          </w:tcPr>
          <w:p w14:paraId="4A304C1C" w14:textId="77777777" w:rsidR="00466311" w:rsidRPr="00AB35CF" w:rsidRDefault="00466311" w:rsidP="001708C1">
            <w:pPr>
              <w:pStyle w:val="TableBodyText"/>
              <w:keepNext w:val="0"/>
              <w:keepLines w:val="0"/>
              <w:spacing w:before="40" w:after="0"/>
              <w:jc w:val="left"/>
            </w:pPr>
            <w:r w:rsidRPr="00AB35CF">
              <w:t>The stage reached by a police investigation after a period of 30 days has elapsed since the recording of the incident.</w:t>
            </w:r>
          </w:p>
        </w:tc>
      </w:tr>
      <w:tr w:rsidR="00466311" w:rsidRPr="00AB35CF" w14:paraId="34E6C910" w14:textId="77777777" w:rsidTr="006E5A39">
        <w:tc>
          <w:tcPr>
            <w:tcW w:w="2127" w:type="dxa"/>
          </w:tcPr>
          <w:p w14:paraId="1259606C" w14:textId="77777777" w:rsidR="00466311" w:rsidRPr="00CF5CA0" w:rsidRDefault="00466311" w:rsidP="001708C1">
            <w:pPr>
              <w:pStyle w:val="TableBodyText"/>
              <w:keepNext w:val="0"/>
              <w:keepLines w:val="0"/>
              <w:spacing w:before="40" w:after="0"/>
              <w:jc w:val="left"/>
              <w:rPr>
                <w:b/>
              </w:rPr>
            </w:pPr>
            <w:r w:rsidRPr="00CF5CA0">
              <w:rPr>
                <w:b/>
              </w:rPr>
              <w:t>Property crimes</w:t>
            </w:r>
          </w:p>
        </w:tc>
        <w:tc>
          <w:tcPr>
            <w:tcW w:w="6652" w:type="dxa"/>
            <w:shd w:val="clear" w:color="auto" w:fill="auto"/>
          </w:tcPr>
          <w:p w14:paraId="44103CD7" w14:textId="16551B4B" w:rsidR="00466311" w:rsidRPr="006E5A39" w:rsidRDefault="00466311" w:rsidP="00F36837">
            <w:pPr>
              <w:pStyle w:val="TableBodyText"/>
              <w:keepNext w:val="0"/>
              <w:keepLines w:val="0"/>
              <w:spacing w:before="40" w:after="0"/>
              <w:jc w:val="left"/>
            </w:pPr>
            <w:r w:rsidRPr="006E5A39">
              <w:t>Total recorded crimes against property, including:</w:t>
            </w:r>
          </w:p>
          <w:p w14:paraId="1AC7E5F6" w14:textId="0140EC37" w:rsidR="00F53561" w:rsidRPr="00786E04" w:rsidRDefault="00F53561" w:rsidP="00786E04">
            <w:pPr>
              <w:pStyle w:val="TableBullet"/>
              <w:spacing w:after="0"/>
            </w:pPr>
            <w:r w:rsidRPr="00786E04">
              <w:t>break</w:t>
            </w:r>
            <w:r w:rsidR="008735A5">
              <w:noBreakHyphen/>
            </w:r>
            <w:r w:rsidRPr="00786E04">
              <w:t>in</w:t>
            </w:r>
          </w:p>
          <w:p w14:paraId="2EB96F21" w14:textId="0A288507" w:rsidR="00F53561" w:rsidRPr="00786E04" w:rsidRDefault="00F53561" w:rsidP="00786E04">
            <w:pPr>
              <w:pStyle w:val="TableBullet"/>
              <w:spacing w:after="0"/>
            </w:pPr>
            <w:r w:rsidRPr="00786E04">
              <w:t>attempted break</w:t>
            </w:r>
            <w:r w:rsidR="008735A5">
              <w:noBreakHyphen/>
            </w:r>
            <w:r w:rsidRPr="00786E04">
              <w:t>in</w:t>
            </w:r>
          </w:p>
          <w:p w14:paraId="3C4CAE85" w14:textId="2A715375" w:rsidR="000D08C5" w:rsidRPr="00786E04" w:rsidRDefault="00466311" w:rsidP="00786E04">
            <w:pPr>
              <w:pStyle w:val="TableBullet"/>
              <w:spacing w:after="0"/>
            </w:pPr>
            <w:r w:rsidRPr="00786E04">
              <w:t>motor vehicle theft</w:t>
            </w:r>
          </w:p>
          <w:p w14:paraId="589B6C0B" w14:textId="0B22641E" w:rsidR="00F53561" w:rsidRPr="00786E04" w:rsidRDefault="00F53561" w:rsidP="00786E04">
            <w:pPr>
              <w:pStyle w:val="TableBullet"/>
              <w:spacing w:after="0"/>
            </w:pPr>
            <w:r w:rsidRPr="00786E04">
              <w:t>theft from motor vehicle</w:t>
            </w:r>
          </w:p>
          <w:p w14:paraId="416783D4" w14:textId="75937738" w:rsidR="00F53561" w:rsidRPr="00786E04" w:rsidRDefault="00F53561" w:rsidP="00786E04">
            <w:pPr>
              <w:pStyle w:val="TableBullet"/>
              <w:spacing w:after="0"/>
            </w:pPr>
            <w:r w:rsidRPr="00786E04">
              <w:t>malicious property damage</w:t>
            </w:r>
          </w:p>
          <w:p w14:paraId="59BFFA00" w14:textId="24FA6757" w:rsidR="00466311" w:rsidRPr="00CF5CA0" w:rsidRDefault="00466311" w:rsidP="00786E04">
            <w:pPr>
              <w:pStyle w:val="TableBullet"/>
              <w:spacing w:after="0"/>
            </w:pPr>
            <w:r w:rsidRPr="00786E04">
              <w:t>other</w:t>
            </w:r>
            <w:r w:rsidR="00350275" w:rsidRPr="00786E04">
              <w:t> </w:t>
            </w:r>
            <w:r w:rsidRPr="00786E04">
              <w:t>theft.</w:t>
            </w:r>
          </w:p>
        </w:tc>
      </w:tr>
      <w:tr w:rsidR="00466311" w:rsidRPr="00AB35CF" w14:paraId="5165BDE1" w14:textId="77777777" w:rsidTr="001708C1">
        <w:tc>
          <w:tcPr>
            <w:tcW w:w="2127" w:type="dxa"/>
          </w:tcPr>
          <w:p w14:paraId="14BC3658" w14:textId="77777777" w:rsidR="00466311" w:rsidRPr="00AB35CF" w:rsidRDefault="00466311" w:rsidP="001708C1">
            <w:pPr>
              <w:pStyle w:val="TableBodyText"/>
              <w:keepNext w:val="0"/>
              <w:keepLines w:val="0"/>
              <w:spacing w:before="40" w:after="0"/>
              <w:jc w:val="left"/>
              <w:rPr>
                <w:b/>
              </w:rPr>
            </w:pPr>
            <w:r w:rsidRPr="00AB35CF">
              <w:rPr>
                <w:b/>
              </w:rPr>
              <w:t>Real expenditure</w:t>
            </w:r>
          </w:p>
        </w:tc>
        <w:tc>
          <w:tcPr>
            <w:tcW w:w="6652" w:type="dxa"/>
          </w:tcPr>
          <w:p w14:paraId="137D850B" w14:textId="33D96D4C" w:rsidR="00466311" w:rsidRPr="00AB35CF" w:rsidRDefault="00466311" w:rsidP="0015033B">
            <w:pPr>
              <w:pStyle w:val="TableBodyText"/>
              <w:keepNext w:val="0"/>
              <w:keepLines w:val="0"/>
              <w:spacing w:before="40" w:after="0"/>
              <w:jc w:val="left"/>
            </w:pPr>
            <w:r w:rsidRPr="00AB35CF">
              <w:t xml:space="preserve">Actual expenditure </w:t>
            </w:r>
            <w:r>
              <w:t xml:space="preserve">is </w:t>
            </w:r>
            <w:r w:rsidRPr="00AB35CF">
              <w:t>adjusted for cha</w:t>
            </w:r>
            <w:r>
              <w:t xml:space="preserve">nges in prices. </w:t>
            </w:r>
            <w:r w:rsidRPr="00205F27">
              <w:t>Time series financial data are adjusted to 20</w:t>
            </w:r>
            <w:r w:rsidR="00B81011">
              <w:t>20</w:t>
            </w:r>
            <w:r>
              <w:noBreakHyphen/>
            </w:r>
            <w:r w:rsidR="00510790">
              <w:t>2</w:t>
            </w:r>
            <w:r w:rsidR="00B81011">
              <w:t>1</w:t>
            </w:r>
            <w:r>
              <w:t xml:space="preserve"> </w:t>
            </w:r>
            <w:r w:rsidRPr="00205F27">
              <w:t>dollars using the General Government Final Consumption Expenditure (GGFCE) chain price deflator (20</w:t>
            </w:r>
            <w:r w:rsidR="00A1019B">
              <w:t>20</w:t>
            </w:r>
            <w:r>
              <w:noBreakHyphen/>
            </w:r>
            <w:r w:rsidR="00510790">
              <w:t>2</w:t>
            </w:r>
            <w:r w:rsidR="00A1019B">
              <w:t>1</w:t>
            </w:r>
            <w:r w:rsidRPr="00205F27">
              <w:t xml:space="preserve"> = 100</w:t>
            </w:r>
            <w:r>
              <w:t>). See table</w:t>
            </w:r>
            <w:r w:rsidR="008D44F2">
              <w:t> </w:t>
            </w:r>
            <w:r>
              <w:t>2A.</w:t>
            </w:r>
            <w:r w:rsidR="006E29CB">
              <w:t>2</w:t>
            </w:r>
            <w:r w:rsidR="006C3F1A">
              <w:t>6</w:t>
            </w:r>
            <w:r w:rsidRPr="00205F27">
              <w:t xml:space="preserve"> and </w:t>
            </w:r>
            <w:r w:rsidR="0015033B">
              <w:t>section</w:t>
            </w:r>
            <w:r w:rsidR="008D44F2">
              <w:t> </w:t>
            </w:r>
            <w:r w:rsidRPr="00205F27">
              <w:t>2 for more details.</w:t>
            </w:r>
          </w:p>
        </w:tc>
      </w:tr>
      <w:tr w:rsidR="00466311" w:rsidRPr="00AB35CF" w14:paraId="5E483C7A" w14:textId="77777777" w:rsidTr="001708C1">
        <w:tc>
          <w:tcPr>
            <w:tcW w:w="2127" w:type="dxa"/>
          </w:tcPr>
          <w:p w14:paraId="47323422" w14:textId="77777777" w:rsidR="00466311" w:rsidRPr="00AB35CF" w:rsidRDefault="00466311" w:rsidP="001708C1">
            <w:pPr>
              <w:pStyle w:val="TableBodyText"/>
              <w:keepNext w:val="0"/>
              <w:keepLines w:val="0"/>
              <w:spacing w:before="40" w:after="0"/>
              <w:jc w:val="left"/>
              <w:rPr>
                <w:b/>
              </w:rPr>
            </w:pPr>
            <w:r w:rsidRPr="00AB35CF">
              <w:rPr>
                <w:b/>
              </w:rPr>
              <w:t>Recorded crime</w:t>
            </w:r>
          </w:p>
        </w:tc>
        <w:tc>
          <w:tcPr>
            <w:tcW w:w="6652" w:type="dxa"/>
          </w:tcPr>
          <w:p w14:paraId="6C06DC8F" w14:textId="77777777" w:rsidR="00466311" w:rsidRPr="00AB35CF" w:rsidRDefault="00466311" w:rsidP="001708C1">
            <w:pPr>
              <w:pStyle w:val="TableBodyText"/>
              <w:keepNext w:val="0"/>
              <w:keepLines w:val="0"/>
              <w:spacing w:before="40" w:after="0"/>
              <w:jc w:val="left"/>
            </w:pPr>
            <w:r w:rsidRPr="00AB35CF">
              <w:t>Crimes reported to (or detected) and recorded by police.</w:t>
            </w:r>
          </w:p>
        </w:tc>
      </w:tr>
      <w:tr w:rsidR="00466311" w:rsidRPr="00AB35CF" w14:paraId="2A64CFF5" w14:textId="77777777" w:rsidTr="001708C1">
        <w:tc>
          <w:tcPr>
            <w:tcW w:w="2127" w:type="dxa"/>
          </w:tcPr>
          <w:p w14:paraId="14450F21" w14:textId="77777777" w:rsidR="00466311" w:rsidRPr="00AB35CF" w:rsidRDefault="00466311" w:rsidP="001708C1">
            <w:pPr>
              <w:pStyle w:val="TableBodyText"/>
              <w:keepNext w:val="0"/>
              <w:keepLines w:val="0"/>
              <w:spacing w:before="40" w:after="0"/>
              <w:jc w:val="left"/>
              <w:rPr>
                <w:b/>
              </w:rPr>
            </w:pPr>
            <w:r w:rsidRPr="00AB35CF">
              <w:rPr>
                <w:b/>
              </w:rPr>
              <w:t>Registered vehicles</w:t>
            </w:r>
          </w:p>
        </w:tc>
        <w:tc>
          <w:tcPr>
            <w:tcW w:w="6652" w:type="dxa"/>
          </w:tcPr>
          <w:p w14:paraId="386233AA" w14:textId="77777777" w:rsidR="00466311" w:rsidRPr="00AB35CF" w:rsidRDefault="00466311" w:rsidP="001708C1">
            <w:pPr>
              <w:pStyle w:val="TableBodyText"/>
              <w:keepNext w:val="0"/>
              <w:keepLines w:val="0"/>
              <w:spacing w:before="40" w:after="0"/>
              <w:jc w:val="left"/>
            </w:pPr>
            <w:r w:rsidRPr="00AB35CF">
              <w:t>Total registered motor vehicles, including motorcycles.</w:t>
            </w:r>
          </w:p>
        </w:tc>
      </w:tr>
      <w:tr w:rsidR="00466311" w:rsidRPr="00AB35CF" w14:paraId="78B38BDE" w14:textId="77777777" w:rsidTr="001708C1">
        <w:tc>
          <w:tcPr>
            <w:tcW w:w="2127" w:type="dxa"/>
          </w:tcPr>
          <w:p w14:paraId="788AC39D" w14:textId="77777777" w:rsidR="00466311" w:rsidRPr="00AB35CF" w:rsidRDefault="00466311" w:rsidP="001708C1">
            <w:pPr>
              <w:pStyle w:val="TableBodyText"/>
              <w:keepNext w:val="0"/>
              <w:keepLines w:val="0"/>
              <w:spacing w:before="40" w:after="0"/>
              <w:jc w:val="left"/>
              <w:rPr>
                <w:b/>
              </w:rPr>
            </w:pPr>
            <w:r w:rsidRPr="00AB35CF">
              <w:rPr>
                <w:b/>
              </w:rPr>
              <w:t>Reporting rate</w:t>
            </w:r>
          </w:p>
        </w:tc>
        <w:tc>
          <w:tcPr>
            <w:tcW w:w="6652" w:type="dxa"/>
          </w:tcPr>
          <w:p w14:paraId="7E7F6786" w14:textId="77777777" w:rsidR="00466311" w:rsidRPr="00AB35CF" w:rsidRDefault="00466311" w:rsidP="001708C1">
            <w:pPr>
              <w:pStyle w:val="TableBodyText"/>
              <w:keepNext w:val="0"/>
              <w:keepLines w:val="0"/>
              <w:spacing w:before="40" w:after="0"/>
              <w:jc w:val="left"/>
            </w:pPr>
            <w:r w:rsidRPr="00AB35CF">
              <w:t>The proportion of crime victims who told police about the last crime incident of which they were the victim, as measured by a crime victimisation survey.</w:t>
            </w:r>
          </w:p>
        </w:tc>
      </w:tr>
      <w:tr w:rsidR="00466311" w:rsidRPr="00AB35CF" w14:paraId="6AD8B537" w14:textId="77777777" w:rsidTr="001708C1">
        <w:tc>
          <w:tcPr>
            <w:tcW w:w="2127" w:type="dxa"/>
          </w:tcPr>
          <w:p w14:paraId="1B09BE29" w14:textId="77777777" w:rsidR="00466311" w:rsidRPr="00AB35CF" w:rsidRDefault="00466311" w:rsidP="001708C1">
            <w:pPr>
              <w:pStyle w:val="TableBodyText"/>
              <w:keepNext w:val="0"/>
              <w:keepLines w:val="0"/>
              <w:spacing w:before="40" w:after="0"/>
              <w:jc w:val="left"/>
              <w:rPr>
                <w:b/>
              </w:rPr>
            </w:pPr>
            <w:r w:rsidRPr="00AB35CF">
              <w:rPr>
                <w:b/>
              </w:rPr>
              <w:t>Revenue from own sources</w:t>
            </w:r>
          </w:p>
        </w:tc>
        <w:tc>
          <w:tcPr>
            <w:tcW w:w="6652" w:type="dxa"/>
          </w:tcPr>
          <w:p w14:paraId="5FD0DDC5" w14:textId="77777777" w:rsidR="00466311" w:rsidRPr="00AB35CF" w:rsidRDefault="00466311" w:rsidP="001708C1">
            <w:pPr>
              <w:pStyle w:val="TableBodyText"/>
              <w:keepNext w:val="0"/>
              <w:keepLines w:val="0"/>
              <w:spacing w:before="40" w:after="0"/>
              <w:jc w:val="left"/>
            </w:pPr>
            <w:r w:rsidRPr="00AB35CF">
              <w:t>Revenue from activities undertaken by police, including revenue from the sale of stores, plant and vehicles; donations and industry contributions; user charges; and other revenue (excluding fine revenue and revenue from the issuing of firearm licenses).</w:t>
            </w:r>
          </w:p>
        </w:tc>
      </w:tr>
      <w:tr w:rsidR="00466311" w:rsidRPr="00AB35CF" w14:paraId="11AE382E" w14:textId="77777777" w:rsidTr="001708C1">
        <w:tc>
          <w:tcPr>
            <w:tcW w:w="2127" w:type="dxa"/>
          </w:tcPr>
          <w:p w14:paraId="16ACF957" w14:textId="77777777" w:rsidR="00466311" w:rsidRPr="00AB35CF" w:rsidRDefault="00466311" w:rsidP="001708C1">
            <w:pPr>
              <w:pStyle w:val="TableBodyText"/>
              <w:keepNext w:val="0"/>
              <w:keepLines w:val="0"/>
              <w:spacing w:before="40" w:after="0"/>
              <w:jc w:val="left"/>
              <w:rPr>
                <w:b/>
              </w:rPr>
            </w:pPr>
            <w:r w:rsidRPr="00AB35CF">
              <w:rPr>
                <w:b/>
              </w:rPr>
              <w:t>Road deaths</w:t>
            </w:r>
          </w:p>
        </w:tc>
        <w:tc>
          <w:tcPr>
            <w:tcW w:w="6652" w:type="dxa"/>
          </w:tcPr>
          <w:p w14:paraId="04E649EA" w14:textId="0CBF9D1C" w:rsidR="00466311" w:rsidRPr="00AB35CF" w:rsidRDefault="00466311" w:rsidP="00F36837">
            <w:pPr>
              <w:pStyle w:val="TableBodyText"/>
              <w:jc w:val="left"/>
            </w:pPr>
            <w:r w:rsidRPr="00AB35CF">
              <w:t>Fatal road injury accidents as defined by the Australian Transport Safety Bureau.</w:t>
            </w:r>
            <w:r w:rsidR="002A18AD" w:rsidRPr="005B4059">
              <w:t xml:space="preserve"> </w:t>
            </w:r>
            <w:r w:rsidR="002A18AD" w:rsidRPr="006E5A39">
              <w:t xml:space="preserve">The Australian Road Deaths Database provides basic details of road transport deaths in Australia as reported by the police each month to the </w:t>
            </w:r>
            <w:r w:rsidR="001D59B3" w:rsidRPr="006E5A39">
              <w:t>s</w:t>
            </w:r>
            <w:r w:rsidR="002A18AD" w:rsidRPr="006E5A39">
              <w:t xml:space="preserve">tate and </w:t>
            </w:r>
            <w:r w:rsidR="001D59B3" w:rsidRPr="006E5A39">
              <w:t>t</w:t>
            </w:r>
            <w:r w:rsidR="002A18AD" w:rsidRPr="006E5A39">
              <w:t>erritory road safety authorities.</w:t>
            </w:r>
          </w:p>
        </w:tc>
      </w:tr>
      <w:tr w:rsidR="00466311" w:rsidRPr="00AB35CF" w14:paraId="3F552C2F" w14:textId="77777777" w:rsidTr="001708C1">
        <w:tc>
          <w:tcPr>
            <w:tcW w:w="2127" w:type="dxa"/>
          </w:tcPr>
          <w:p w14:paraId="63ADE997" w14:textId="77777777" w:rsidR="00466311" w:rsidRPr="00AB35CF" w:rsidRDefault="00466311" w:rsidP="001708C1">
            <w:pPr>
              <w:pStyle w:val="TableBodyText"/>
              <w:keepNext w:val="0"/>
              <w:keepLines w:val="0"/>
              <w:spacing w:before="40" w:after="0"/>
              <w:jc w:val="left"/>
              <w:rPr>
                <w:b/>
              </w:rPr>
            </w:pPr>
            <w:r w:rsidRPr="00AB35CF">
              <w:rPr>
                <w:b/>
              </w:rPr>
              <w:t>Robbery</w:t>
            </w:r>
          </w:p>
        </w:tc>
        <w:tc>
          <w:tcPr>
            <w:tcW w:w="6652" w:type="dxa"/>
          </w:tcPr>
          <w:p w14:paraId="21E73E7E" w14:textId="77777777" w:rsidR="00466311" w:rsidRPr="00AB35CF" w:rsidRDefault="00466311" w:rsidP="001708C1">
            <w:pPr>
              <w:pStyle w:val="TableBodyText"/>
              <w:keepNext w:val="0"/>
              <w:keepLines w:val="0"/>
              <w:spacing w:before="40" w:after="0"/>
              <w:jc w:val="left"/>
            </w:pPr>
            <w:r w:rsidRPr="00AB35CF">
              <w:t>The unlawful taking of property from the immediate possession, control, custody or care of a person, with the intent to permanently deprive the owner of the property accompanied by the use, and/or threatened use of immediate force or violence.</w:t>
            </w:r>
          </w:p>
        </w:tc>
      </w:tr>
    </w:tbl>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6.4 Definitions of key terms &#10;&#10;Table with key terms&#10;&#10;More details can be found within the text surrounding this image."/>
      </w:tblPr>
      <w:tblGrid>
        <w:gridCol w:w="2127"/>
        <w:gridCol w:w="6652"/>
      </w:tblGrid>
      <w:tr w:rsidR="00466311" w:rsidRPr="00AB35CF" w14:paraId="40A60C88" w14:textId="77777777" w:rsidTr="001708C1">
        <w:tc>
          <w:tcPr>
            <w:tcW w:w="2127" w:type="dxa"/>
          </w:tcPr>
          <w:p w14:paraId="6A1D1DB3" w14:textId="2B1D831F" w:rsidR="00466311" w:rsidRPr="00AB35CF" w:rsidRDefault="000A0109" w:rsidP="006843B6">
            <w:pPr>
              <w:pStyle w:val="TableBodyText"/>
              <w:keepNext w:val="0"/>
              <w:keepLines w:val="0"/>
              <w:spacing w:before="40" w:after="0"/>
              <w:jc w:val="left"/>
              <w:rPr>
                <w:b/>
              </w:rPr>
            </w:pPr>
            <w:r>
              <w:rPr>
                <w:b/>
              </w:rPr>
              <w:lastRenderedPageBreak/>
              <w:t>S</w:t>
            </w:r>
            <w:r w:rsidR="00466311" w:rsidRPr="00AB35CF">
              <w:rPr>
                <w:b/>
              </w:rPr>
              <w:t>alaries and payments in the nature of salary</w:t>
            </w:r>
          </w:p>
        </w:tc>
        <w:tc>
          <w:tcPr>
            <w:tcW w:w="6652" w:type="dxa"/>
          </w:tcPr>
          <w:p w14:paraId="7A09588E" w14:textId="77777777" w:rsidR="00466311" w:rsidRDefault="00466311" w:rsidP="001708C1">
            <w:pPr>
              <w:pStyle w:val="TableBodyText"/>
              <w:spacing w:after="0"/>
              <w:jc w:val="left"/>
            </w:pPr>
            <w:r>
              <w:t>Includes:</w:t>
            </w:r>
          </w:p>
          <w:p w14:paraId="53973B71" w14:textId="77777777" w:rsidR="00466311" w:rsidRDefault="00466311" w:rsidP="001708C1">
            <w:pPr>
              <w:pStyle w:val="TableBullet"/>
              <w:spacing w:after="0"/>
            </w:pPr>
            <w:r>
              <w:t>base salary package</w:t>
            </w:r>
          </w:p>
          <w:p w14:paraId="6BD041A1" w14:textId="77777777" w:rsidR="00466311" w:rsidRDefault="00466311" w:rsidP="001708C1">
            <w:pPr>
              <w:pStyle w:val="TableBullet"/>
              <w:spacing w:after="0"/>
            </w:pPr>
            <w:r>
              <w:t>motor vehicle expenses that are part of employer fringe benefits</w:t>
            </w:r>
          </w:p>
          <w:p w14:paraId="2F72A6B0" w14:textId="77777777" w:rsidR="00466311" w:rsidRDefault="00466311" w:rsidP="001708C1">
            <w:pPr>
              <w:pStyle w:val="TableBullet"/>
              <w:spacing w:after="0"/>
            </w:pPr>
            <w:r>
              <w:t>superannuation, early retirement schemes and payments to pension schemes (employer contributions)</w:t>
            </w:r>
          </w:p>
          <w:p w14:paraId="5C7188AD" w14:textId="77777777" w:rsidR="00466311" w:rsidRDefault="00466311" w:rsidP="001708C1">
            <w:pPr>
              <w:pStyle w:val="TableBullet"/>
              <w:spacing w:after="0"/>
            </w:pPr>
            <w:r>
              <w:t>workers compensation (full cost) including premiums, levies, bills, legal fees</w:t>
            </w:r>
          </w:p>
          <w:p w14:paraId="0A952D6B" w14:textId="77777777" w:rsidR="00466311" w:rsidRPr="00AB35CF" w:rsidRDefault="00466311" w:rsidP="001708C1">
            <w:pPr>
              <w:pStyle w:val="TableBullet"/>
              <w:spacing w:after="0"/>
            </w:pPr>
            <w:r w:rsidRPr="00AB35CF">
              <w:t>higher duty allowances (actual amounts paid)</w:t>
            </w:r>
          </w:p>
          <w:p w14:paraId="17FC09D0" w14:textId="77777777" w:rsidR="00466311" w:rsidRPr="00AB35CF" w:rsidRDefault="00466311" w:rsidP="001708C1">
            <w:pPr>
              <w:pStyle w:val="TableBullet"/>
              <w:spacing w:after="0"/>
            </w:pPr>
            <w:r w:rsidRPr="00AB35CF">
              <w:t>overtime (actual amounts paid)</w:t>
            </w:r>
          </w:p>
          <w:p w14:paraId="3B111CEC" w14:textId="77777777" w:rsidR="00466311" w:rsidRPr="00AB35CF" w:rsidRDefault="00466311" w:rsidP="001708C1">
            <w:pPr>
              <w:pStyle w:val="TableBullet"/>
              <w:spacing w:after="0"/>
            </w:pPr>
            <w:r w:rsidRPr="00AB35CF">
              <w:t>actual termination and long service leave</w:t>
            </w:r>
          </w:p>
          <w:p w14:paraId="1A8F5198" w14:textId="77777777" w:rsidR="00466311" w:rsidRPr="00AB35CF" w:rsidRDefault="00466311" w:rsidP="001708C1">
            <w:pPr>
              <w:pStyle w:val="TableBullet"/>
              <w:spacing w:after="0"/>
            </w:pPr>
            <w:r w:rsidRPr="00AB35CF">
              <w:t>actual annual leave</w:t>
            </w:r>
          </w:p>
          <w:p w14:paraId="0739EF1E" w14:textId="77777777" w:rsidR="00466311" w:rsidRPr="00AB35CF" w:rsidRDefault="00466311" w:rsidP="001708C1">
            <w:pPr>
              <w:pStyle w:val="TableBullet"/>
              <w:spacing w:after="0"/>
            </w:pPr>
            <w:r w:rsidRPr="00AB35CF">
              <w:t>actual sick leave</w:t>
            </w:r>
          </w:p>
          <w:p w14:paraId="5496FC88" w14:textId="77777777" w:rsidR="00466311" w:rsidRPr="00AB35CF" w:rsidRDefault="00466311" w:rsidP="001708C1">
            <w:pPr>
              <w:pStyle w:val="TableBullet"/>
              <w:spacing w:after="0"/>
            </w:pPr>
            <w:r w:rsidRPr="00AB35CF">
              <w:t>actual maternity/paternity leave</w:t>
            </w:r>
          </w:p>
          <w:p w14:paraId="3F62D4CF" w14:textId="77777777" w:rsidR="00466311" w:rsidRPr="00AB35CF" w:rsidRDefault="00466311" w:rsidP="001708C1">
            <w:pPr>
              <w:pStyle w:val="TableBullet"/>
              <w:spacing w:after="0"/>
            </w:pPr>
            <w:r w:rsidRPr="00AB35CF">
              <w:t>fringe benefits tax paid</w:t>
            </w:r>
          </w:p>
          <w:p w14:paraId="4D8AD626" w14:textId="77777777" w:rsidR="00466311" w:rsidRPr="00AB35CF" w:rsidRDefault="00466311" w:rsidP="001708C1">
            <w:pPr>
              <w:pStyle w:val="TableBullet"/>
              <w:spacing w:after="0"/>
            </w:pPr>
            <w:r w:rsidRPr="00AB35CF">
              <w:t>fringe benefits provided (for example, school fee salary sacrifice at cost to the government, car parking, duress alarms, telephone account reimbursements, ‘gold passes’, other salary sacrifice benefits, frequent flyer benefits, overtime meals provided and any other components that are not part of a salary package)</w:t>
            </w:r>
          </w:p>
          <w:p w14:paraId="62465E8C" w14:textId="5BDC216D" w:rsidR="00466311" w:rsidRPr="00AB35CF" w:rsidRDefault="00466311" w:rsidP="00812082">
            <w:pPr>
              <w:pStyle w:val="TableBullet"/>
              <w:spacing w:after="0"/>
            </w:pPr>
            <w:r w:rsidRPr="00AB35CF">
              <w:t>payrol</w:t>
            </w:r>
            <w:r>
              <w:t>l</w:t>
            </w:r>
            <w:r w:rsidR="00812082">
              <w:t> </w:t>
            </w:r>
            <w:r w:rsidRPr="00AB35CF">
              <w:t>tax.</w:t>
            </w:r>
          </w:p>
        </w:tc>
      </w:tr>
      <w:tr w:rsidR="00466311" w:rsidRPr="00EC529A" w14:paraId="511C39A8" w14:textId="77777777" w:rsidTr="001708C1">
        <w:trPr>
          <w:trHeight w:val="160"/>
        </w:trPr>
        <w:tc>
          <w:tcPr>
            <w:tcW w:w="2127" w:type="dxa"/>
          </w:tcPr>
          <w:p w14:paraId="3D3B97EC" w14:textId="77777777" w:rsidR="00466311" w:rsidRPr="00AB35CF" w:rsidRDefault="00466311" w:rsidP="001708C1">
            <w:pPr>
              <w:pStyle w:val="TableBodyText"/>
              <w:keepNext w:val="0"/>
              <w:keepLines w:val="0"/>
              <w:spacing w:before="40" w:after="0"/>
              <w:jc w:val="left"/>
              <w:rPr>
                <w:b/>
              </w:rPr>
            </w:pPr>
            <w:r w:rsidRPr="00AB35CF">
              <w:rPr>
                <w:b/>
              </w:rPr>
              <w:t>Sexual assault</w:t>
            </w:r>
          </w:p>
        </w:tc>
        <w:tc>
          <w:tcPr>
            <w:tcW w:w="6652" w:type="dxa"/>
          </w:tcPr>
          <w:p w14:paraId="323FFC65" w14:textId="77777777" w:rsidR="00466311" w:rsidRPr="00AB35CF" w:rsidRDefault="00466311" w:rsidP="001708C1">
            <w:pPr>
              <w:pStyle w:val="TableBodyText"/>
              <w:keepNext w:val="0"/>
              <w:keepLines w:val="0"/>
              <w:spacing w:before="40" w:after="0"/>
              <w:jc w:val="left"/>
            </w:pPr>
            <w:r w:rsidRPr="00AB35CF">
              <w:t xml:space="preserve">Physical contact of a sexual nature directed towards another person where that person does not give consent, that person gives consent as a result of intimidation or fraud, or consent is proscribed (that is, the person is legally deemed incapable of giving consent as a result of youth, temporary/permanent (mental) incapacity or a familial relationship). </w:t>
            </w:r>
          </w:p>
          <w:p w14:paraId="5BC2895A" w14:textId="77777777" w:rsidR="00466311" w:rsidRPr="00EC529A" w:rsidRDefault="00466311" w:rsidP="001708C1">
            <w:pPr>
              <w:pStyle w:val="TableBodyText"/>
              <w:spacing w:after="0"/>
              <w:jc w:val="left"/>
            </w:pPr>
            <w:r w:rsidRPr="00AB35CF">
              <w:t>Includes rape, attempted rape, indecent assault and assault with intent to commit sexual assault. Excludes sexual harassment not leading to assault.</w:t>
            </w:r>
          </w:p>
        </w:tc>
      </w:tr>
      <w:tr w:rsidR="00466311" w:rsidRPr="00AB35CF" w14:paraId="2CFDBECA" w14:textId="77777777" w:rsidTr="001708C1">
        <w:trPr>
          <w:trHeight w:val="160"/>
        </w:trPr>
        <w:tc>
          <w:tcPr>
            <w:tcW w:w="2127" w:type="dxa"/>
          </w:tcPr>
          <w:p w14:paraId="42DCB474" w14:textId="77777777" w:rsidR="00466311" w:rsidRPr="00AB35CF" w:rsidRDefault="00466311" w:rsidP="001708C1">
            <w:pPr>
              <w:pStyle w:val="TableBodyText"/>
              <w:keepNext w:val="0"/>
              <w:keepLines w:val="0"/>
              <w:spacing w:before="40" w:after="0"/>
              <w:jc w:val="left"/>
              <w:rPr>
                <w:b/>
              </w:rPr>
            </w:pPr>
            <w:r w:rsidRPr="00AB35CF">
              <w:rPr>
                <w:b/>
              </w:rPr>
              <w:t>Sworn staff</w:t>
            </w:r>
          </w:p>
        </w:tc>
        <w:tc>
          <w:tcPr>
            <w:tcW w:w="6652" w:type="dxa"/>
          </w:tcPr>
          <w:p w14:paraId="2803987D" w14:textId="77777777" w:rsidR="00466311" w:rsidRPr="00AB35CF" w:rsidRDefault="00466311" w:rsidP="001708C1">
            <w:pPr>
              <w:pStyle w:val="TableBodyText"/>
              <w:keepNext w:val="0"/>
              <w:keepLines w:val="0"/>
              <w:spacing w:before="40" w:after="0"/>
              <w:jc w:val="left"/>
            </w:pPr>
            <w:r w:rsidRPr="00AB35CF">
              <w:t>Sworn police staff recognised under each jurisdiction’s Police Act.</w:t>
            </w:r>
          </w:p>
        </w:tc>
      </w:tr>
      <w:tr w:rsidR="00466311" w:rsidRPr="00AB35CF" w14:paraId="2EB3C6B8" w14:textId="77777777" w:rsidTr="001708C1">
        <w:trPr>
          <w:trHeight w:val="160"/>
        </w:trPr>
        <w:tc>
          <w:tcPr>
            <w:tcW w:w="2127" w:type="dxa"/>
          </w:tcPr>
          <w:p w14:paraId="1D8D1AE2" w14:textId="77777777" w:rsidR="00466311" w:rsidRPr="00AB35CF" w:rsidRDefault="00466311" w:rsidP="001708C1">
            <w:pPr>
              <w:pStyle w:val="TableBodyText"/>
              <w:keepNext w:val="0"/>
              <w:keepLines w:val="0"/>
              <w:spacing w:before="40" w:after="0"/>
              <w:jc w:val="left"/>
              <w:rPr>
                <w:b/>
              </w:rPr>
            </w:pPr>
            <w:r w:rsidRPr="00AB35CF">
              <w:rPr>
                <w:b/>
              </w:rPr>
              <w:t>Total capital expenditure</w:t>
            </w:r>
          </w:p>
        </w:tc>
        <w:tc>
          <w:tcPr>
            <w:tcW w:w="6652" w:type="dxa"/>
          </w:tcPr>
          <w:p w14:paraId="494D1F3A" w14:textId="1933070E" w:rsidR="00466311" w:rsidRPr="00AB35CF" w:rsidRDefault="00466311" w:rsidP="001708C1">
            <w:pPr>
              <w:pStyle w:val="TableBodyText"/>
              <w:keepNext w:val="0"/>
              <w:keepLines w:val="0"/>
              <w:spacing w:before="40" w:after="0"/>
              <w:jc w:val="left"/>
            </w:pPr>
            <w:r w:rsidRPr="00AB35CF">
              <w:t>Total expenditure on the purchase of new or second</w:t>
            </w:r>
            <w:r w:rsidR="008735A5">
              <w:noBreakHyphen/>
            </w:r>
            <w:r w:rsidRPr="00AB35CF">
              <w:t>hand capital assets, and expenditure on significant repairs or additions to assets that add to the assets’ service potential or service life.</w:t>
            </w:r>
          </w:p>
        </w:tc>
      </w:tr>
      <w:tr w:rsidR="00466311" w:rsidRPr="00AB35CF" w14:paraId="1EFB35B0" w14:textId="77777777" w:rsidTr="001708C1">
        <w:trPr>
          <w:trHeight w:val="160"/>
        </w:trPr>
        <w:tc>
          <w:tcPr>
            <w:tcW w:w="2127" w:type="dxa"/>
          </w:tcPr>
          <w:p w14:paraId="41DB41BB" w14:textId="77777777" w:rsidR="00466311" w:rsidRPr="00AB35CF" w:rsidRDefault="00466311" w:rsidP="001708C1">
            <w:pPr>
              <w:pStyle w:val="TableBodyText"/>
              <w:keepNext w:val="0"/>
              <w:keepLines w:val="0"/>
              <w:spacing w:before="40" w:after="0"/>
              <w:jc w:val="left"/>
              <w:rPr>
                <w:b/>
              </w:rPr>
            </w:pPr>
            <w:r w:rsidRPr="00AB35CF">
              <w:rPr>
                <w:b/>
              </w:rPr>
              <w:t>Total expenditure</w:t>
            </w:r>
          </w:p>
        </w:tc>
        <w:tc>
          <w:tcPr>
            <w:tcW w:w="6652" w:type="dxa"/>
          </w:tcPr>
          <w:p w14:paraId="13758851" w14:textId="77777777" w:rsidR="00466311" w:rsidRPr="00AB35CF" w:rsidRDefault="00466311" w:rsidP="001708C1">
            <w:pPr>
              <w:pStyle w:val="TableBodyText"/>
              <w:keepNext w:val="0"/>
              <w:keepLines w:val="0"/>
              <w:spacing w:before="40" w:after="0"/>
              <w:jc w:val="left"/>
            </w:pPr>
            <w:r w:rsidRPr="00AB35CF">
              <w:t>Total capital expenditure plus total recurrent expenditure (less revenue from own sources).</w:t>
            </w:r>
          </w:p>
        </w:tc>
      </w:tr>
      <w:tr w:rsidR="00466311" w:rsidRPr="00AB35CF" w14:paraId="50F4652C" w14:textId="77777777" w:rsidTr="001708C1">
        <w:trPr>
          <w:trHeight w:val="160"/>
        </w:trPr>
        <w:tc>
          <w:tcPr>
            <w:tcW w:w="2127" w:type="dxa"/>
          </w:tcPr>
          <w:p w14:paraId="26476580" w14:textId="77777777" w:rsidR="00466311" w:rsidRPr="00AB35CF" w:rsidRDefault="00466311" w:rsidP="001708C1">
            <w:pPr>
              <w:pStyle w:val="TableBodyText"/>
              <w:keepNext w:val="0"/>
              <w:keepLines w:val="0"/>
              <w:spacing w:before="40" w:after="0"/>
              <w:jc w:val="left"/>
              <w:rPr>
                <w:b/>
              </w:rPr>
            </w:pPr>
            <w:r w:rsidRPr="00AB35CF">
              <w:rPr>
                <w:b/>
              </w:rPr>
              <w:t>Total FTE staff</w:t>
            </w:r>
          </w:p>
        </w:tc>
        <w:tc>
          <w:tcPr>
            <w:tcW w:w="6652" w:type="dxa"/>
          </w:tcPr>
          <w:p w14:paraId="1C0D9AB2" w14:textId="51CF0C6C" w:rsidR="00466311" w:rsidRPr="00AB35CF" w:rsidRDefault="00466311" w:rsidP="001708C1">
            <w:pPr>
              <w:pStyle w:val="TableBodyText"/>
              <w:keepNext w:val="0"/>
              <w:keepLines w:val="0"/>
              <w:spacing w:before="40" w:after="0"/>
              <w:jc w:val="left"/>
            </w:pPr>
            <w:r w:rsidRPr="00AB35CF">
              <w:t>Operational staff and non</w:t>
            </w:r>
            <w:r>
              <w:noBreakHyphen/>
            </w:r>
            <w:r w:rsidRPr="00AB35CF">
              <w:t xml:space="preserve">operational staff, including </w:t>
            </w:r>
            <w:r w:rsidR="00173687">
              <w:t>full</w:t>
            </w:r>
            <w:r w:rsidR="008735A5">
              <w:noBreakHyphen/>
            </w:r>
            <w:r w:rsidR="00173687">
              <w:t>time equivalent</w:t>
            </w:r>
            <w:r w:rsidRPr="00AB35CF">
              <w:t xml:space="preserve"> staff on pai</w:t>
            </w:r>
            <w:r>
              <w:t>d leave or a</w:t>
            </w:r>
            <w:r w:rsidRPr="00AB35CF">
              <w:t>bsence from duty (including secondment and training), as measured using absolute numbers for the whole reporting period.</w:t>
            </w:r>
          </w:p>
        </w:tc>
      </w:tr>
      <w:tr w:rsidR="00466311" w:rsidRPr="00AB35CF" w14:paraId="748289CE" w14:textId="77777777" w:rsidTr="001708C1">
        <w:trPr>
          <w:trHeight w:val="160"/>
        </w:trPr>
        <w:tc>
          <w:tcPr>
            <w:tcW w:w="2127" w:type="dxa"/>
          </w:tcPr>
          <w:p w14:paraId="4ADA1FE7" w14:textId="77777777" w:rsidR="00466311" w:rsidRPr="00AB35CF" w:rsidRDefault="00466311" w:rsidP="001708C1">
            <w:pPr>
              <w:pStyle w:val="TableBodyText"/>
              <w:keepNext w:val="0"/>
              <w:keepLines w:val="0"/>
              <w:spacing w:before="40" w:after="0"/>
              <w:jc w:val="left"/>
              <w:rPr>
                <w:b/>
              </w:rPr>
            </w:pPr>
            <w:r w:rsidRPr="00AB35CF">
              <w:rPr>
                <w:b/>
              </w:rPr>
              <w:t>Total number of staff</w:t>
            </w:r>
          </w:p>
        </w:tc>
        <w:tc>
          <w:tcPr>
            <w:tcW w:w="6652" w:type="dxa"/>
          </w:tcPr>
          <w:p w14:paraId="2D06AF5F" w14:textId="4ED741A7" w:rsidR="00466311" w:rsidRPr="00AB35CF" w:rsidRDefault="00466311" w:rsidP="001708C1">
            <w:pPr>
              <w:pStyle w:val="TableBodyText"/>
              <w:keepNext w:val="0"/>
              <w:keepLines w:val="0"/>
              <w:spacing w:before="40" w:after="0"/>
              <w:jc w:val="left"/>
            </w:pPr>
            <w:r w:rsidRPr="00AB35CF">
              <w:t>F</w:t>
            </w:r>
            <w:r w:rsidR="001E7E69">
              <w:t>ull</w:t>
            </w:r>
            <w:r w:rsidR="008735A5">
              <w:noBreakHyphen/>
            </w:r>
            <w:r w:rsidR="001E7E69">
              <w:t>time equivalent</w:t>
            </w:r>
            <w:r w:rsidRPr="00AB35CF">
              <w:t xml:space="preserve"> staff directly employed on an annual basis (excluding labour contracted out).</w:t>
            </w:r>
          </w:p>
        </w:tc>
      </w:tr>
      <w:tr w:rsidR="00466311" w:rsidRPr="00AB35CF" w14:paraId="2989BA12" w14:textId="77777777" w:rsidTr="001708C1">
        <w:trPr>
          <w:trHeight w:val="160"/>
        </w:trPr>
        <w:tc>
          <w:tcPr>
            <w:tcW w:w="2127" w:type="dxa"/>
          </w:tcPr>
          <w:p w14:paraId="4EED89D0" w14:textId="77777777" w:rsidR="00466311" w:rsidRPr="00AB35CF" w:rsidRDefault="00466311" w:rsidP="001708C1">
            <w:pPr>
              <w:pStyle w:val="TableBodyText"/>
              <w:keepNext w:val="0"/>
              <w:keepLines w:val="0"/>
              <w:spacing w:before="40" w:after="0"/>
              <w:jc w:val="left"/>
              <w:rPr>
                <w:b/>
              </w:rPr>
            </w:pPr>
            <w:r w:rsidRPr="00AB35CF">
              <w:rPr>
                <w:b/>
              </w:rPr>
              <w:t>Total recurrent expenditure</w:t>
            </w:r>
          </w:p>
        </w:tc>
        <w:tc>
          <w:tcPr>
            <w:tcW w:w="6652" w:type="dxa"/>
          </w:tcPr>
          <w:p w14:paraId="09CCD2A6" w14:textId="77777777" w:rsidR="00466311" w:rsidRPr="00AB35CF" w:rsidRDefault="00466311" w:rsidP="001708C1">
            <w:pPr>
              <w:pStyle w:val="TableBodyText"/>
              <w:keepNext w:val="0"/>
              <w:keepLines w:val="0"/>
              <w:spacing w:before="40" w:after="0"/>
              <w:jc w:val="left"/>
            </w:pPr>
            <w:r w:rsidRPr="00AB35CF">
              <w:t xml:space="preserve">Includes: </w:t>
            </w:r>
          </w:p>
          <w:p w14:paraId="11B9D4DE" w14:textId="68585370" w:rsidR="00466311" w:rsidRPr="00AB35CF" w:rsidRDefault="00466311" w:rsidP="001708C1">
            <w:pPr>
              <w:pStyle w:val="TableBullet"/>
              <w:spacing w:after="0"/>
            </w:pPr>
            <w:r w:rsidRPr="00AB35CF">
              <w:t>salaries and payments in the nature of salary</w:t>
            </w:r>
            <w:r w:rsidR="00454B05">
              <w:t xml:space="preserve"> </w:t>
            </w:r>
            <w:r w:rsidR="00454B05" w:rsidRPr="00786E04">
              <w:t>(for police and non</w:t>
            </w:r>
            <w:r w:rsidR="008735A5">
              <w:noBreakHyphen/>
            </w:r>
            <w:r w:rsidR="00454B05" w:rsidRPr="00786E04">
              <w:t>police staff)</w:t>
            </w:r>
          </w:p>
          <w:p w14:paraId="212802B8" w14:textId="77777777" w:rsidR="00466311" w:rsidRPr="00AB35CF" w:rsidRDefault="00466311" w:rsidP="001708C1">
            <w:pPr>
              <w:pStyle w:val="TableBullet"/>
              <w:spacing w:after="0"/>
            </w:pPr>
            <w:r w:rsidRPr="00AB35CF">
              <w:t>other recurrent expenditure</w:t>
            </w:r>
          </w:p>
          <w:p w14:paraId="16FD1DEB" w14:textId="27A84DB7" w:rsidR="00466311" w:rsidRPr="00AB35CF" w:rsidRDefault="00466311" w:rsidP="001708C1">
            <w:pPr>
              <w:pStyle w:val="TableBullet"/>
              <w:spacing w:after="0"/>
            </w:pPr>
            <w:r w:rsidRPr="00AB35CF">
              <w:t>depreciation</w:t>
            </w:r>
          </w:p>
          <w:p w14:paraId="07718862" w14:textId="31EB36F6" w:rsidR="00547AB0" w:rsidRPr="00AB35CF" w:rsidRDefault="00466311" w:rsidP="00547AB0">
            <w:pPr>
              <w:pStyle w:val="TableBullet"/>
              <w:spacing w:after="0"/>
            </w:pPr>
            <w:r w:rsidRPr="00AB35CF">
              <w:t>less</w:t>
            </w:r>
            <w:r w:rsidR="00812082">
              <w:t> </w:t>
            </w:r>
            <w:r w:rsidRPr="00AB35CF">
              <w:t>revenue from own sources.</w:t>
            </w:r>
          </w:p>
        </w:tc>
      </w:tr>
      <w:tr w:rsidR="00466311" w:rsidRPr="00AB35CF" w14:paraId="3156B4F7" w14:textId="77777777" w:rsidTr="001708C1">
        <w:trPr>
          <w:trHeight w:val="160"/>
        </w:trPr>
        <w:tc>
          <w:tcPr>
            <w:tcW w:w="2127" w:type="dxa"/>
          </w:tcPr>
          <w:p w14:paraId="23B40D4C" w14:textId="77777777" w:rsidR="00466311" w:rsidRPr="00AB35CF" w:rsidRDefault="00466311" w:rsidP="001708C1">
            <w:pPr>
              <w:pStyle w:val="TableBodyText"/>
              <w:keepNext w:val="0"/>
              <w:keepLines w:val="0"/>
              <w:spacing w:before="40" w:after="0"/>
              <w:jc w:val="left"/>
              <w:rPr>
                <w:b/>
              </w:rPr>
            </w:pPr>
            <w:r w:rsidRPr="00AB35CF">
              <w:rPr>
                <w:b/>
              </w:rPr>
              <w:t>Unlawful entry with intent — involving the taking of property</w:t>
            </w:r>
          </w:p>
        </w:tc>
        <w:tc>
          <w:tcPr>
            <w:tcW w:w="6652" w:type="dxa"/>
          </w:tcPr>
          <w:p w14:paraId="4D6EDE65" w14:textId="77777777" w:rsidR="00466311" w:rsidRPr="00AB35CF" w:rsidRDefault="00466311" w:rsidP="001708C1">
            <w:pPr>
              <w:pStyle w:val="TableBodyText"/>
              <w:keepNext w:val="0"/>
              <w:keepLines w:val="0"/>
              <w:spacing w:before="40" w:after="0"/>
              <w:jc w:val="left"/>
            </w:pPr>
            <w:r w:rsidRPr="00AB35CF">
              <w:t>The unlawful entry of a structure (whether forced or unforced) with intent to commit an offence, resulting in the taking of property from the structure. Includes burglary and break</w:t>
            </w:r>
            <w:r>
              <w:noBreakHyphen/>
            </w:r>
            <w:r w:rsidRPr="00AB35CF">
              <w:t>in offences. Excludes trespass or lawful entry with intent.</w:t>
            </w:r>
          </w:p>
        </w:tc>
      </w:tr>
      <w:tr w:rsidR="00466311" w:rsidRPr="00AB35CF" w14:paraId="7D45BA22" w14:textId="77777777" w:rsidTr="001708C1">
        <w:trPr>
          <w:trHeight w:val="160"/>
        </w:trPr>
        <w:tc>
          <w:tcPr>
            <w:tcW w:w="2127" w:type="dxa"/>
          </w:tcPr>
          <w:p w14:paraId="66692D43" w14:textId="77777777" w:rsidR="00466311" w:rsidRPr="00AB35CF" w:rsidRDefault="00466311" w:rsidP="001708C1">
            <w:pPr>
              <w:pStyle w:val="TableBodyText"/>
              <w:keepNext w:val="0"/>
              <w:keepLines w:val="0"/>
              <w:spacing w:before="40" w:after="0"/>
              <w:jc w:val="left"/>
              <w:rPr>
                <w:b/>
              </w:rPr>
            </w:pPr>
            <w:r w:rsidRPr="00AB35CF">
              <w:rPr>
                <w:b/>
              </w:rPr>
              <w:t>Unlawful entry with intent — other</w:t>
            </w:r>
          </w:p>
        </w:tc>
        <w:tc>
          <w:tcPr>
            <w:tcW w:w="6652" w:type="dxa"/>
          </w:tcPr>
          <w:p w14:paraId="6BFA52C1" w14:textId="77777777" w:rsidR="00466311" w:rsidRPr="00AB35CF" w:rsidRDefault="00466311" w:rsidP="001708C1">
            <w:pPr>
              <w:pStyle w:val="TableBodyText"/>
              <w:keepNext w:val="0"/>
              <w:keepLines w:val="0"/>
              <w:spacing w:before="40" w:after="0"/>
              <w:jc w:val="left"/>
            </w:pPr>
            <w:r w:rsidRPr="00AB35CF">
              <w:t>The unlawful entry of a structure (whether forced or unforced) with intent to commit an offence, but which does not result in the taking of property from the structure. Excludes trespass or lawful entry with intent.</w:t>
            </w:r>
          </w:p>
        </w:tc>
      </w:tr>
      <w:tr w:rsidR="00466311" w:rsidRPr="00AB35CF" w14:paraId="547FC140" w14:textId="77777777" w:rsidTr="001708C1">
        <w:trPr>
          <w:trHeight w:val="160"/>
        </w:trPr>
        <w:tc>
          <w:tcPr>
            <w:tcW w:w="2127" w:type="dxa"/>
          </w:tcPr>
          <w:p w14:paraId="7702ACA6" w14:textId="77777777" w:rsidR="00466311" w:rsidRPr="00AB35CF" w:rsidRDefault="00466311" w:rsidP="001708C1">
            <w:pPr>
              <w:pStyle w:val="TableBodyText"/>
              <w:keepNext w:val="0"/>
              <w:keepLines w:val="0"/>
              <w:spacing w:before="40" w:after="0"/>
              <w:jc w:val="left"/>
              <w:rPr>
                <w:b/>
              </w:rPr>
            </w:pPr>
            <w:r w:rsidRPr="00AB35CF">
              <w:rPr>
                <w:b/>
              </w:rPr>
              <w:t>User cost of capital</w:t>
            </w:r>
          </w:p>
        </w:tc>
        <w:tc>
          <w:tcPr>
            <w:tcW w:w="6652" w:type="dxa"/>
          </w:tcPr>
          <w:p w14:paraId="3CA657B6" w14:textId="77777777" w:rsidR="00466311" w:rsidRPr="00AB35CF" w:rsidRDefault="00466311" w:rsidP="001708C1">
            <w:pPr>
              <w:pStyle w:val="TableBodyText"/>
              <w:keepNext w:val="0"/>
              <w:keepLines w:val="0"/>
              <w:spacing w:before="40" w:after="0"/>
              <w:jc w:val="left"/>
            </w:pPr>
            <w:r w:rsidRPr="00AB35CF">
              <w:t>The opportunity cost of funds tied up in the capital used to deliver services. Calculated as 8 per cent of the current value of non</w:t>
            </w:r>
            <w:r>
              <w:noBreakHyphen/>
            </w:r>
            <w:r w:rsidRPr="00AB35CF">
              <w:t>current physical assets (excluding land).</w:t>
            </w:r>
          </w:p>
        </w:tc>
      </w:tr>
      <w:tr w:rsidR="00466311" w:rsidRPr="00AB35CF" w14:paraId="6FB49B6A" w14:textId="77777777" w:rsidTr="001708C1">
        <w:trPr>
          <w:trHeight w:val="160"/>
        </w:trPr>
        <w:tc>
          <w:tcPr>
            <w:tcW w:w="2127" w:type="dxa"/>
          </w:tcPr>
          <w:p w14:paraId="44258FD0" w14:textId="77777777" w:rsidR="00466311" w:rsidRPr="00AB35CF" w:rsidRDefault="00466311" w:rsidP="001708C1">
            <w:pPr>
              <w:pStyle w:val="TableBodyText"/>
              <w:keepNext w:val="0"/>
              <w:keepLines w:val="0"/>
              <w:spacing w:before="40" w:after="0"/>
              <w:jc w:val="left"/>
              <w:rPr>
                <w:b/>
              </w:rPr>
            </w:pPr>
            <w:r w:rsidRPr="00AB35CF">
              <w:rPr>
                <w:b/>
              </w:rPr>
              <w:t>Value of physical assets — buildings and fittings</w:t>
            </w:r>
            <w:r w:rsidRPr="00AB35CF">
              <w:rPr>
                <w:b/>
              </w:rPr>
              <w:tab/>
            </w:r>
          </w:p>
        </w:tc>
        <w:tc>
          <w:tcPr>
            <w:tcW w:w="6652" w:type="dxa"/>
          </w:tcPr>
          <w:p w14:paraId="700AF70D" w14:textId="77777777" w:rsidR="00466311" w:rsidRPr="00AB35CF" w:rsidRDefault="00466311" w:rsidP="001708C1">
            <w:pPr>
              <w:pStyle w:val="TableBodyText"/>
              <w:keepNext w:val="0"/>
              <w:keepLines w:val="0"/>
              <w:spacing w:before="40" w:after="0"/>
              <w:jc w:val="left"/>
            </w:pPr>
            <w:r w:rsidRPr="00AB35CF">
              <w:t>The value of buildings and fittings under the direct control of police.</w:t>
            </w:r>
          </w:p>
        </w:tc>
      </w:tr>
      <w:tr w:rsidR="00466311" w:rsidRPr="00AB35CF" w14:paraId="744E4717" w14:textId="77777777" w:rsidTr="001708C1">
        <w:trPr>
          <w:trHeight w:val="160"/>
        </w:trPr>
        <w:tc>
          <w:tcPr>
            <w:tcW w:w="2127" w:type="dxa"/>
          </w:tcPr>
          <w:p w14:paraId="7EBB2EB6" w14:textId="77777777" w:rsidR="00466311" w:rsidRPr="00AB35CF" w:rsidRDefault="00466311" w:rsidP="001708C1">
            <w:pPr>
              <w:pStyle w:val="TableBodyText"/>
              <w:keepNext w:val="0"/>
              <w:keepLines w:val="0"/>
              <w:spacing w:before="40" w:after="0"/>
              <w:jc w:val="left"/>
              <w:rPr>
                <w:b/>
              </w:rPr>
            </w:pPr>
            <w:r w:rsidRPr="00AB35CF">
              <w:rPr>
                <w:b/>
              </w:rPr>
              <w:t>Value of physical assets — land</w:t>
            </w:r>
          </w:p>
        </w:tc>
        <w:tc>
          <w:tcPr>
            <w:tcW w:w="6652" w:type="dxa"/>
          </w:tcPr>
          <w:p w14:paraId="6DFBEA09" w14:textId="77777777" w:rsidR="00466311" w:rsidRPr="00AB35CF" w:rsidRDefault="00466311" w:rsidP="001708C1">
            <w:pPr>
              <w:pStyle w:val="TableBodyText"/>
              <w:keepNext w:val="0"/>
              <w:keepLines w:val="0"/>
              <w:spacing w:before="40" w:after="0"/>
              <w:jc w:val="left"/>
            </w:pPr>
            <w:r w:rsidRPr="00AB35CF">
              <w:t>The value of land under the direct control of police.</w:t>
            </w:r>
          </w:p>
        </w:tc>
      </w:tr>
      <w:tr w:rsidR="00466311" w:rsidRPr="00AB35CF" w14:paraId="511A9FA6" w14:textId="77777777" w:rsidTr="001708C1">
        <w:trPr>
          <w:trHeight w:val="207"/>
        </w:trPr>
        <w:tc>
          <w:tcPr>
            <w:tcW w:w="2127" w:type="dxa"/>
          </w:tcPr>
          <w:p w14:paraId="7A0A25E1" w14:textId="77777777" w:rsidR="00466311" w:rsidRPr="00AB35CF" w:rsidRDefault="00466311" w:rsidP="001708C1">
            <w:pPr>
              <w:pStyle w:val="TableBodyText"/>
              <w:keepNext w:val="0"/>
              <w:keepLines w:val="0"/>
              <w:spacing w:before="40" w:after="0"/>
              <w:jc w:val="left"/>
              <w:rPr>
                <w:b/>
              </w:rPr>
            </w:pPr>
            <w:r w:rsidRPr="00AB35CF">
              <w:rPr>
                <w:b/>
              </w:rPr>
              <w:t>Value of physical assets — other</w:t>
            </w:r>
          </w:p>
        </w:tc>
        <w:tc>
          <w:tcPr>
            <w:tcW w:w="6652" w:type="dxa"/>
          </w:tcPr>
          <w:p w14:paraId="725C118F" w14:textId="77777777" w:rsidR="00466311" w:rsidRPr="00AB35CF" w:rsidRDefault="00466311" w:rsidP="001708C1">
            <w:pPr>
              <w:pStyle w:val="TableBodyText"/>
              <w:keepNext w:val="0"/>
              <w:keepLines w:val="0"/>
              <w:spacing w:before="40" w:after="0"/>
              <w:jc w:val="left"/>
            </w:pPr>
            <w:r w:rsidRPr="00AB35CF">
              <w:t>The value of motor vehicles, computer equipment, and general plant and equipment under the direct control of police.</w:t>
            </w:r>
          </w:p>
        </w:tc>
      </w:tr>
      <w:bookmarkEnd w:id="29"/>
    </w:tbl>
    <w:p w14:paraId="34CA317A" w14:textId="77777777" w:rsidR="0036475F" w:rsidRDefault="0036475F">
      <w:pPr>
        <w:pStyle w:val="BodyText"/>
      </w:pPr>
    </w:p>
    <w:sectPr w:rsidR="0036475F" w:rsidSect="001D7157">
      <w:headerReference w:type="even" r:id="rId17"/>
      <w:headerReference w:type="default" r:id="rId18"/>
      <w:footerReference w:type="default" r:id="rId19"/>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1EA6" w14:textId="77777777" w:rsidR="00F55547" w:rsidRDefault="00F55547">
      <w:r>
        <w:separator/>
      </w:r>
    </w:p>
  </w:endnote>
  <w:endnote w:type="continuationSeparator" w:id="0">
    <w:p w14:paraId="7DCA91DC" w14:textId="77777777" w:rsidR="00F55547" w:rsidRDefault="00F55547">
      <w:r>
        <w:continuationSeparator/>
      </w:r>
    </w:p>
  </w:endnote>
  <w:endnote w:type="continuationNotice" w:id="1">
    <w:p w14:paraId="4B9F85F7" w14:textId="77777777" w:rsidR="00F55547" w:rsidRDefault="00F55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4" w:space="0" w:color="auto"/>
      </w:tblBorders>
      <w:tblLayout w:type="fixed"/>
      <w:tblCellMar>
        <w:left w:w="0" w:type="dxa"/>
        <w:right w:w="0" w:type="dxa"/>
      </w:tblCellMar>
      <w:tblLook w:val="0000" w:firstRow="0" w:lastRow="0" w:firstColumn="0" w:lastColumn="0" w:noHBand="0" w:noVBand="0"/>
    </w:tblPr>
    <w:tblGrid>
      <w:gridCol w:w="319"/>
      <w:gridCol w:w="4731"/>
      <w:gridCol w:w="1869"/>
      <w:gridCol w:w="1870"/>
    </w:tblGrid>
    <w:tr w:rsidR="00C5217E" w14:paraId="3FC64CFE" w14:textId="77777777" w:rsidTr="00064887">
      <w:trPr>
        <w:trHeight w:hRule="exact" w:val="567"/>
      </w:trPr>
      <w:tc>
        <w:tcPr>
          <w:tcW w:w="344" w:type="dxa"/>
        </w:tcPr>
        <w:p w14:paraId="4DD5010D" w14:textId="46901FDB" w:rsidR="00C5217E" w:rsidRPr="00A24443" w:rsidRDefault="00C5217E" w:rsidP="00235CD0">
          <w:pPr>
            <w:pStyle w:val="Footer"/>
            <w:tabs>
              <w:tab w:val="left" w:pos="0"/>
            </w:tabs>
            <w:ind w:right="0"/>
            <w:rPr>
              <w:rStyle w:val="PageNumbe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16</w:t>
          </w:r>
          <w:r w:rsidRPr="00A24443">
            <w:rPr>
              <w:rStyle w:val="PageNumber"/>
              <w:caps w:val="0"/>
            </w:rPr>
            <w:fldChar w:fldCharType="end"/>
          </w:r>
        </w:p>
      </w:tc>
      <w:tc>
        <w:tcPr>
          <w:tcW w:w="5141" w:type="dxa"/>
        </w:tcPr>
        <w:p w14:paraId="7F962417" w14:textId="1FBE9F5B" w:rsidR="00C5217E" w:rsidRPr="0013739A" w:rsidRDefault="00C5217E" w:rsidP="00235CD0">
          <w:pPr>
            <w:pStyle w:val="Footer"/>
            <w:rPr>
              <w:rFonts w:cs="Arial"/>
            </w:rPr>
          </w:pPr>
          <w:r>
            <w:rPr>
              <w:rFonts w:cs="Arial"/>
            </w:rPr>
            <w:t xml:space="preserve"> report on government services 202</w:t>
          </w:r>
          <w:r w:rsidR="007D0B43">
            <w:rPr>
              <w:rFonts w:cs="Arial"/>
            </w:rPr>
            <w:t>2</w:t>
          </w:r>
          <w:r w:rsidR="004F00D6">
            <w:rPr>
              <w:rFonts w:cs="Arial"/>
            </w:rPr>
            <w:t>06</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11" w:name="DraftReportEven"/>
          <w:bookmarkEnd w:id="11"/>
        </w:p>
      </w:tc>
      <w:tc>
        <w:tcPr>
          <w:tcW w:w="2030" w:type="dxa"/>
        </w:tcPr>
        <w:p w14:paraId="7473F4D9" w14:textId="77777777" w:rsidR="00C5217E" w:rsidRDefault="00C5217E" w:rsidP="00717D2B">
          <w:pPr>
            <w:pStyle w:val="Footer"/>
          </w:pPr>
        </w:p>
      </w:tc>
      <w:tc>
        <w:tcPr>
          <w:tcW w:w="2031" w:type="dxa"/>
        </w:tcPr>
        <w:p w14:paraId="0A36BD85" w14:textId="444A60E4" w:rsidR="00C5217E" w:rsidRDefault="00C5217E" w:rsidP="00717D2B">
          <w:pPr>
            <w:pStyle w:val="Footer"/>
          </w:pPr>
        </w:p>
      </w:tc>
    </w:tr>
  </w:tbl>
  <w:p w14:paraId="35848C7B" w14:textId="77777777" w:rsidR="00C5217E" w:rsidRDefault="00C5217E" w:rsidP="00717D2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7E" w14:paraId="4A3680C5" w14:textId="77777777" w:rsidTr="007B3C4E">
      <w:trPr>
        <w:trHeight w:hRule="exact" w:val="567"/>
      </w:trPr>
      <w:tc>
        <w:tcPr>
          <w:tcW w:w="510" w:type="dxa"/>
        </w:tcPr>
        <w:p w14:paraId="6FE96B59" w14:textId="77777777" w:rsidR="00C5217E" w:rsidRDefault="00C5217E" w:rsidP="00717D2B">
          <w:pPr>
            <w:pStyle w:val="Footer"/>
            <w:ind w:right="360" w:firstLine="360"/>
          </w:pPr>
        </w:p>
      </w:tc>
      <w:tc>
        <w:tcPr>
          <w:tcW w:w="7767" w:type="dxa"/>
        </w:tcPr>
        <w:p w14:paraId="68C82366" w14:textId="1119BA3E" w:rsidR="00C5217E" w:rsidRPr="00BA5B14" w:rsidRDefault="00C5217E" w:rsidP="00235CD0">
          <w:pPr>
            <w:pStyle w:val="Footer"/>
            <w:jc w:val="right"/>
            <w:rPr>
              <w:rFonts w:cs="Arial"/>
            </w:rPr>
          </w:pPr>
          <w:r>
            <w:rPr>
              <w:rFonts w:cs="Arial"/>
            </w:rPr>
            <w:t>police services INTERPRETATIVE MATERIAl</w:t>
          </w:r>
        </w:p>
      </w:tc>
      <w:tc>
        <w:tcPr>
          <w:tcW w:w="510" w:type="dxa"/>
        </w:tcPr>
        <w:p w14:paraId="6102F9D0" w14:textId="4CEC311B" w:rsidR="00C5217E" w:rsidRPr="00A24443" w:rsidRDefault="00C5217E" w:rsidP="00235CD0">
          <w:pPr>
            <w:pStyle w:val="Footer"/>
            <w:jc w:val="right"/>
            <w:rP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11</w:t>
          </w:r>
          <w:r w:rsidRPr="00A24443">
            <w:rPr>
              <w:rStyle w:val="PageNumber"/>
              <w:caps w:val="0"/>
            </w:rPr>
            <w:fldChar w:fldCharType="end"/>
          </w:r>
        </w:p>
      </w:tc>
    </w:tr>
  </w:tbl>
  <w:p w14:paraId="27F6E819" w14:textId="77777777" w:rsidR="00C5217E" w:rsidRDefault="00C5217E" w:rsidP="00717D2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93"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673"/>
      <w:gridCol w:w="510"/>
    </w:tblGrid>
    <w:tr w:rsidR="00C5217E" w14:paraId="2700137C" w14:textId="77777777" w:rsidTr="003B33FD">
      <w:trPr>
        <w:trHeight w:hRule="exact" w:val="567"/>
      </w:trPr>
      <w:tc>
        <w:tcPr>
          <w:tcW w:w="510" w:type="dxa"/>
        </w:tcPr>
        <w:p w14:paraId="1D853DC8" w14:textId="77777777" w:rsidR="00C5217E" w:rsidRDefault="00C5217E" w:rsidP="00717D2B">
          <w:pPr>
            <w:pStyle w:val="Footer"/>
            <w:ind w:right="360" w:firstLine="360"/>
          </w:pPr>
        </w:p>
      </w:tc>
      <w:tc>
        <w:tcPr>
          <w:tcW w:w="12673" w:type="dxa"/>
        </w:tcPr>
        <w:p w14:paraId="1B9FDF7A" w14:textId="56D18EAE" w:rsidR="00C5217E" w:rsidRPr="00BA5B14" w:rsidRDefault="00C5217E" w:rsidP="003B33FD">
          <w:pPr>
            <w:pStyle w:val="Footer"/>
            <w:ind w:right="144"/>
            <w:jc w:val="right"/>
            <w:rPr>
              <w:rFonts w:cs="Arial"/>
            </w:rPr>
          </w:pPr>
          <w:r>
            <w:rPr>
              <w:rFonts w:cs="Arial"/>
            </w:rPr>
            <w:t>police services INTERPRETATIVE MATERIAl</w:t>
          </w:r>
        </w:p>
      </w:tc>
      <w:tc>
        <w:tcPr>
          <w:tcW w:w="510" w:type="dxa"/>
        </w:tcPr>
        <w:p w14:paraId="5F4CF92D" w14:textId="1323CB5C" w:rsidR="00C5217E" w:rsidRPr="00A24443" w:rsidRDefault="00C5217E" w:rsidP="00717D2B">
          <w:pPr>
            <w:pStyle w:val="Footer"/>
            <w:rP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13</w:t>
          </w:r>
          <w:r w:rsidRPr="00A24443">
            <w:rPr>
              <w:rStyle w:val="PageNumber"/>
              <w:caps w:val="0"/>
            </w:rPr>
            <w:fldChar w:fldCharType="end"/>
          </w:r>
        </w:p>
      </w:tc>
    </w:tr>
  </w:tbl>
  <w:p w14:paraId="48F8313F" w14:textId="77777777" w:rsidR="00C5217E" w:rsidRDefault="00C5217E" w:rsidP="00717D2B">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5"/>
      <w:gridCol w:w="512"/>
    </w:tblGrid>
    <w:tr w:rsidR="00C5217E" w14:paraId="2528F660" w14:textId="77777777" w:rsidTr="007D047A">
      <w:trPr>
        <w:trHeight w:hRule="exact" w:val="567"/>
      </w:trPr>
      <w:tc>
        <w:tcPr>
          <w:tcW w:w="510" w:type="dxa"/>
        </w:tcPr>
        <w:p w14:paraId="645EF6A1" w14:textId="77777777" w:rsidR="00C5217E" w:rsidRDefault="00C5217E" w:rsidP="007D047A">
          <w:pPr>
            <w:pStyle w:val="Footer"/>
            <w:ind w:right="360" w:firstLine="360"/>
          </w:pPr>
        </w:p>
      </w:tc>
      <w:tc>
        <w:tcPr>
          <w:tcW w:w="7765" w:type="dxa"/>
        </w:tcPr>
        <w:p w14:paraId="2A28740D" w14:textId="01DE2FF6" w:rsidR="00C5217E" w:rsidRPr="00BA5B14" w:rsidRDefault="00C5217E" w:rsidP="00E5786F">
          <w:pPr>
            <w:pStyle w:val="Footer"/>
            <w:jc w:val="right"/>
            <w:rPr>
              <w:rFonts w:cs="Arial"/>
            </w:rPr>
          </w:pPr>
          <w:r>
            <w:rPr>
              <w:rFonts w:cs="Arial"/>
            </w:rPr>
            <w:t>police services INTERPRETATIVE MATERIAl</w:t>
          </w:r>
        </w:p>
      </w:tc>
      <w:tc>
        <w:tcPr>
          <w:tcW w:w="512" w:type="dxa"/>
        </w:tcPr>
        <w:p w14:paraId="6CF8F056" w14:textId="68838957" w:rsidR="00C5217E" w:rsidRPr="00A24443" w:rsidRDefault="00C5217E" w:rsidP="00E5786F">
          <w:pPr>
            <w:pStyle w:val="Footer"/>
            <w:jc w:val="right"/>
            <w:rP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17</w:t>
          </w:r>
          <w:r w:rsidRPr="00A24443">
            <w:rPr>
              <w:rStyle w:val="PageNumber"/>
              <w:caps w:val="0"/>
            </w:rPr>
            <w:fldChar w:fldCharType="end"/>
          </w:r>
        </w:p>
      </w:tc>
    </w:tr>
  </w:tbl>
  <w:p w14:paraId="2F808057" w14:textId="77777777" w:rsidR="00C5217E" w:rsidRDefault="00C5217E">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4596" w14:textId="77777777" w:rsidR="00F55547" w:rsidRDefault="00F55547">
      <w:r>
        <w:separator/>
      </w:r>
    </w:p>
  </w:footnote>
  <w:footnote w:type="continuationSeparator" w:id="0">
    <w:p w14:paraId="746FC54B" w14:textId="77777777" w:rsidR="00F55547" w:rsidRDefault="00F55547">
      <w:r>
        <w:continuationSeparator/>
      </w:r>
    </w:p>
  </w:footnote>
  <w:footnote w:type="continuationNotice" w:id="1">
    <w:p w14:paraId="7838376B" w14:textId="77777777" w:rsidR="00F55547" w:rsidRDefault="00F55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000" w:firstRow="0" w:lastRow="0" w:firstColumn="0" w:lastColumn="0" w:noHBand="0" w:noVBand="0"/>
    </w:tblPr>
    <w:tblGrid>
      <w:gridCol w:w="2155"/>
      <w:gridCol w:w="6634"/>
    </w:tblGrid>
    <w:tr w:rsidR="00C5217E" w14:paraId="789AB139" w14:textId="098F838E" w:rsidTr="00240091">
      <w:tc>
        <w:tcPr>
          <w:tcW w:w="2155" w:type="dxa"/>
          <w:tcBorders>
            <w:top w:val="single" w:sz="24" w:space="0" w:color="auto"/>
          </w:tcBorders>
        </w:tcPr>
        <w:p w14:paraId="03155CD7" w14:textId="77777777" w:rsidR="00C5217E" w:rsidRDefault="00C5217E" w:rsidP="00655976">
          <w:pPr>
            <w:pStyle w:val="HeaderEven"/>
          </w:pPr>
        </w:p>
      </w:tc>
      <w:tc>
        <w:tcPr>
          <w:tcW w:w="6634" w:type="dxa"/>
          <w:tcBorders>
            <w:top w:val="single" w:sz="6" w:space="0" w:color="auto"/>
          </w:tcBorders>
        </w:tcPr>
        <w:p w14:paraId="65974E10" w14:textId="55845A0C" w:rsidR="00C5217E" w:rsidRPr="007A1D0A" w:rsidRDefault="00C5217E" w:rsidP="00590083">
          <w:pPr>
            <w:pStyle w:val="HeaderEven"/>
            <w:rPr>
              <w:sz w:val="26"/>
              <w:szCs w:val="24"/>
            </w:rPr>
          </w:pPr>
        </w:p>
      </w:tc>
    </w:tr>
  </w:tbl>
  <w:p w14:paraId="3A5C60CB" w14:textId="77777777" w:rsidR="00C5217E" w:rsidRDefault="00C5217E" w:rsidP="00717D2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5217E" w14:paraId="4CB0EECB" w14:textId="77777777" w:rsidTr="00FE2013">
      <w:tc>
        <w:tcPr>
          <w:tcW w:w="6634" w:type="dxa"/>
          <w:tcBorders>
            <w:top w:val="single" w:sz="6" w:space="0" w:color="auto"/>
          </w:tcBorders>
        </w:tcPr>
        <w:p w14:paraId="0A220CF2" w14:textId="2D341F9A" w:rsidR="00C5217E" w:rsidRPr="00264CBA" w:rsidRDefault="00C5217E" w:rsidP="00717D2B">
          <w:pPr>
            <w:pStyle w:val="Header"/>
            <w:rPr>
              <w:rFonts w:cs="Arial"/>
            </w:rPr>
          </w:pPr>
        </w:p>
      </w:tc>
      <w:tc>
        <w:tcPr>
          <w:tcW w:w="2155" w:type="dxa"/>
          <w:tcBorders>
            <w:top w:val="single" w:sz="24" w:space="0" w:color="auto"/>
          </w:tcBorders>
        </w:tcPr>
        <w:p w14:paraId="575756FC" w14:textId="77777777" w:rsidR="00C5217E" w:rsidRDefault="00C5217E" w:rsidP="00717D2B">
          <w:pPr>
            <w:pStyle w:val="HeaderOdd"/>
          </w:pPr>
        </w:p>
      </w:tc>
    </w:tr>
  </w:tbl>
  <w:p w14:paraId="3AC5B524" w14:textId="77777777" w:rsidR="00C5217E" w:rsidRDefault="00C5217E" w:rsidP="00717D2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37" w:type="dxa"/>
      <w:tblBorders>
        <w:top w:val="single" w:sz="6" w:space="0" w:color="auto"/>
      </w:tblBorders>
      <w:tblLayout w:type="fixed"/>
      <w:tblCellMar>
        <w:left w:w="0" w:type="dxa"/>
        <w:right w:w="0" w:type="dxa"/>
      </w:tblCellMar>
      <w:tblLook w:val="0000" w:firstRow="0" w:lastRow="0" w:firstColumn="0" w:lastColumn="0" w:noHBand="0" w:noVBand="0"/>
    </w:tblPr>
    <w:tblGrid>
      <w:gridCol w:w="11482"/>
      <w:gridCol w:w="2155"/>
    </w:tblGrid>
    <w:tr w:rsidR="00C5217E" w14:paraId="76A52168" w14:textId="77777777" w:rsidTr="006A2B6D">
      <w:tc>
        <w:tcPr>
          <w:tcW w:w="11482" w:type="dxa"/>
          <w:tcBorders>
            <w:top w:val="single" w:sz="6" w:space="0" w:color="auto"/>
          </w:tcBorders>
        </w:tcPr>
        <w:p w14:paraId="2819B8D9" w14:textId="43207B4B" w:rsidR="00C5217E" w:rsidRPr="00064887" w:rsidRDefault="00C5217E" w:rsidP="00717D2B">
          <w:pPr>
            <w:pStyle w:val="Header"/>
            <w:rPr>
              <w:rFonts w:cs="Arial"/>
              <w:sz w:val="26"/>
              <w:szCs w:val="26"/>
            </w:rPr>
          </w:pPr>
        </w:p>
      </w:tc>
      <w:tc>
        <w:tcPr>
          <w:tcW w:w="2155" w:type="dxa"/>
          <w:tcBorders>
            <w:top w:val="single" w:sz="4" w:space="0" w:color="auto"/>
          </w:tcBorders>
        </w:tcPr>
        <w:p w14:paraId="7DD53026" w14:textId="77777777" w:rsidR="00C5217E" w:rsidRDefault="00C5217E" w:rsidP="006A2B6D">
          <w:pPr>
            <w:pStyle w:val="HeaderOdd"/>
            <w:jc w:val="center"/>
          </w:pPr>
        </w:p>
      </w:tc>
    </w:tr>
  </w:tbl>
  <w:p w14:paraId="37FF7982" w14:textId="77777777" w:rsidR="00C5217E" w:rsidRDefault="00C5217E" w:rsidP="00717D2B">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84" w:type="dxa"/>
      <w:tblInd w:w="142" w:type="dxa"/>
      <w:tblLayout w:type="fixed"/>
      <w:tblCellMar>
        <w:left w:w="0" w:type="dxa"/>
        <w:right w:w="0" w:type="dxa"/>
      </w:tblCellMar>
      <w:tblLook w:val="0000" w:firstRow="0" w:lastRow="0" w:firstColumn="0" w:lastColumn="0" w:noHBand="0" w:noVBand="0"/>
    </w:tblPr>
    <w:tblGrid>
      <w:gridCol w:w="223"/>
      <w:gridCol w:w="8461"/>
    </w:tblGrid>
    <w:tr w:rsidR="00C5217E" w14:paraId="1073BD66" w14:textId="77777777" w:rsidTr="00CD407E">
      <w:trPr>
        <w:trHeight w:val="325"/>
      </w:trPr>
      <w:tc>
        <w:tcPr>
          <w:tcW w:w="223" w:type="dxa"/>
          <w:tcBorders>
            <w:top w:val="single" w:sz="4" w:space="0" w:color="auto"/>
          </w:tcBorders>
        </w:tcPr>
        <w:p w14:paraId="02094994" w14:textId="77777777" w:rsidR="00C5217E" w:rsidRDefault="00C5217E" w:rsidP="00CD407E">
          <w:pPr>
            <w:pStyle w:val="HeaderEven"/>
          </w:pPr>
        </w:p>
      </w:tc>
      <w:tc>
        <w:tcPr>
          <w:tcW w:w="8461" w:type="dxa"/>
          <w:tcBorders>
            <w:top w:val="single" w:sz="6" w:space="0" w:color="auto"/>
          </w:tcBorders>
        </w:tcPr>
        <w:p w14:paraId="39586DA9" w14:textId="2453AF59" w:rsidR="00C5217E" w:rsidRDefault="00C5217E" w:rsidP="006A2B6D">
          <w:pPr>
            <w:pStyle w:val="Header"/>
            <w:jc w:val="right"/>
          </w:pPr>
        </w:p>
      </w:tc>
    </w:tr>
  </w:tbl>
  <w:p w14:paraId="4335A3BB" w14:textId="77777777" w:rsidR="00C5217E" w:rsidRDefault="00C5217E" w:rsidP="00717D2B">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5217E" w14:paraId="6A455E95" w14:textId="77777777" w:rsidTr="006A2B6D">
      <w:tc>
        <w:tcPr>
          <w:tcW w:w="6634" w:type="dxa"/>
          <w:tcBorders>
            <w:top w:val="single" w:sz="6" w:space="0" w:color="auto"/>
          </w:tcBorders>
        </w:tcPr>
        <w:p w14:paraId="57154E92" w14:textId="19E180A8" w:rsidR="00C5217E" w:rsidRPr="00064887" w:rsidRDefault="00C5217E" w:rsidP="00064887">
          <w:pPr>
            <w:pStyle w:val="Header"/>
            <w:rPr>
              <w:rFonts w:cs="Arial"/>
              <w:sz w:val="26"/>
              <w:szCs w:val="26"/>
            </w:rPr>
          </w:pPr>
        </w:p>
      </w:tc>
      <w:tc>
        <w:tcPr>
          <w:tcW w:w="2155" w:type="dxa"/>
          <w:tcBorders>
            <w:top w:val="single" w:sz="4" w:space="0" w:color="auto"/>
          </w:tcBorders>
        </w:tcPr>
        <w:p w14:paraId="67740DE1" w14:textId="77777777" w:rsidR="00C5217E" w:rsidRDefault="00C5217E" w:rsidP="00717D2B">
          <w:pPr>
            <w:pStyle w:val="HeaderOdd"/>
          </w:pPr>
        </w:p>
      </w:tc>
    </w:tr>
  </w:tbl>
  <w:p w14:paraId="024A5EE9" w14:textId="77777777" w:rsidR="00C5217E" w:rsidRDefault="00C5217E"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6" w15:restartNumberingAfterBreak="0">
    <w:nsid w:val="13834804"/>
    <w:multiLevelType w:val="hybridMultilevel"/>
    <w:tmpl w:val="F1BA1E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1CC53DF"/>
    <w:multiLevelType w:val="hybridMultilevel"/>
    <w:tmpl w:val="CD362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9FA1E1B"/>
    <w:multiLevelType w:val="hybridMultilevel"/>
    <w:tmpl w:val="44B0A04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16cid:durableId="213856474">
    <w:abstractNumId w:val="12"/>
  </w:num>
  <w:num w:numId="2" w16cid:durableId="1352340015">
    <w:abstractNumId w:val="2"/>
  </w:num>
  <w:num w:numId="3" w16cid:durableId="543566293">
    <w:abstractNumId w:val="19"/>
  </w:num>
  <w:num w:numId="4" w16cid:durableId="136383437">
    <w:abstractNumId w:val="17"/>
  </w:num>
  <w:num w:numId="5" w16cid:durableId="1376419540">
    <w:abstractNumId w:val="3"/>
  </w:num>
  <w:num w:numId="6" w16cid:durableId="1308509186">
    <w:abstractNumId w:val="11"/>
  </w:num>
  <w:num w:numId="7" w16cid:durableId="387725990">
    <w:abstractNumId w:val="20"/>
  </w:num>
  <w:num w:numId="8" w16cid:durableId="2121682062">
    <w:abstractNumId w:val="14"/>
  </w:num>
  <w:num w:numId="9" w16cid:durableId="34619284">
    <w:abstractNumId w:val="13"/>
  </w:num>
  <w:num w:numId="10" w16cid:durableId="1607424348">
    <w:abstractNumId w:val="0"/>
  </w:num>
  <w:num w:numId="11" w16cid:durableId="2132747943">
    <w:abstractNumId w:val="18"/>
  </w:num>
  <w:num w:numId="12" w16cid:durableId="663508702">
    <w:abstractNumId w:val="7"/>
  </w:num>
  <w:num w:numId="13" w16cid:durableId="498273935">
    <w:abstractNumId w:val="4"/>
  </w:num>
  <w:num w:numId="14" w16cid:durableId="851727757">
    <w:abstractNumId w:val="16"/>
  </w:num>
  <w:num w:numId="15" w16cid:durableId="952712496">
    <w:abstractNumId w:val="21"/>
  </w:num>
  <w:num w:numId="16" w16cid:durableId="1892375112">
    <w:abstractNumId w:val="9"/>
  </w:num>
  <w:num w:numId="17" w16cid:durableId="1186138483">
    <w:abstractNumId w:val="1"/>
  </w:num>
  <w:num w:numId="18" w16cid:durableId="1559122076">
    <w:abstractNumId w:val="5"/>
  </w:num>
  <w:num w:numId="19" w16cid:durableId="1114598021">
    <w:abstractNumId w:val="15"/>
  </w:num>
  <w:num w:numId="20" w16cid:durableId="1609701084">
    <w:abstractNumId w:val="8"/>
  </w:num>
  <w:num w:numId="21" w16cid:durableId="793403046">
    <w:abstractNumId w:val="8"/>
  </w:num>
  <w:num w:numId="22" w16cid:durableId="1315911597">
    <w:abstractNumId w:val="6"/>
  </w:num>
  <w:num w:numId="23" w16cid:durableId="1583877521">
    <w:abstractNumId w:val="10"/>
  </w:num>
  <w:num w:numId="24" w16cid:durableId="95965137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ORRECTIVE SERVICES"/>
    <w:docVar w:name="ShortReportTitle" w:val="Report on Government Service Provision 2020"/>
  </w:docVars>
  <w:rsids>
    <w:rsidRoot w:val="00651016"/>
    <w:rsid w:val="0000006B"/>
    <w:rsid w:val="00005691"/>
    <w:rsid w:val="00011ABA"/>
    <w:rsid w:val="00011C3F"/>
    <w:rsid w:val="0001409F"/>
    <w:rsid w:val="00017606"/>
    <w:rsid w:val="00017833"/>
    <w:rsid w:val="000178A5"/>
    <w:rsid w:val="00021ED4"/>
    <w:rsid w:val="00021FE2"/>
    <w:rsid w:val="000227D5"/>
    <w:rsid w:val="00023BAE"/>
    <w:rsid w:val="000245AA"/>
    <w:rsid w:val="0003061B"/>
    <w:rsid w:val="000318C2"/>
    <w:rsid w:val="00033F4D"/>
    <w:rsid w:val="0003664B"/>
    <w:rsid w:val="0004111F"/>
    <w:rsid w:val="00041EF8"/>
    <w:rsid w:val="00043230"/>
    <w:rsid w:val="00044DE1"/>
    <w:rsid w:val="00047D17"/>
    <w:rsid w:val="00055077"/>
    <w:rsid w:val="0005519C"/>
    <w:rsid w:val="000565B3"/>
    <w:rsid w:val="000607F0"/>
    <w:rsid w:val="0006184E"/>
    <w:rsid w:val="00062974"/>
    <w:rsid w:val="00063E77"/>
    <w:rsid w:val="00064887"/>
    <w:rsid w:val="00066453"/>
    <w:rsid w:val="0007150B"/>
    <w:rsid w:val="000754F1"/>
    <w:rsid w:val="00081E1C"/>
    <w:rsid w:val="000825FC"/>
    <w:rsid w:val="000938F5"/>
    <w:rsid w:val="00094E9C"/>
    <w:rsid w:val="0009563E"/>
    <w:rsid w:val="00095663"/>
    <w:rsid w:val="00096188"/>
    <w:rsid w:val="00096E55"/>
    <w:rsid w:val="0009783E"/>
    <w:rsid w:val="000A0109"/>
    <w:rsid w:val="000A1AA0"/>
    <w:rsid w:val="000A2D4F"/>
    <w:rsid w:val="000A5C22"/>
    <w:rsid w:val="000A6264"/>
    <w:rsid w:val="000A671B"/>
    <w:rsid w:val="000B1022"/>
    <w:rsid w:val="000B2F78"/>
    <w:rsid w:val="000B601B"/>
    <w:rsid w:val="000B7F04"/>
    <w:rsid w:val="000C207E"/>
    <w:rsid w:val="000D08C5"/>
    <w:rsid w:val="000D10C9"/>
    <w:rsid w:val="000D207D"/>
    <w:rsid w:val="000D41E9"/>
    <w:rsid w:val="000D4755"/>
    <w:rsid w:val="000E09F5"/>
    <w:rsid w:val="000E37DC"/>
    <w:rsid w:val="000E5FB1"/>
    <w:rsid w:val="000E623C"/>
    <w:rsid w:val="000E7AF7"/>
    <w:rsid w:val="000F0035"/>
    <w:rsid w:val="000F04E7"/>
    <w:rsid w:val="000F060A"/>
    <w:rsid w:val="000F420B"/>
    <w:rsid w:val="000F539C"/>
    <w:rsid w:val="000F7303"/>
    <w:rsid w:val="001011ED"/>
    <w:rsid w:val="0010454A"/>
    <w:rsid w:val="00110116"/>
    <w:rsid w:val="00113AD3"/>
    <w:rsid w:val="0011742D"/>
    <w:rsid w:val="0011755E"/>
    <w:rsid w:val="00120072"/>
    <w:rsid w:val="00120E72"/>
    <w:rsid w:val="0012221C"/>
    <w:rsid w:val="001239B2"/>
    <w:rsid w:val="00124BA5"/>
    <w:rsid w:val="00126EB8"/>
    <w:rsid w:val="001274D4"/>
    <w:rsid w:val="001307CD"/>
    <w:rsid w:val="0013497C"/>
    <w:rsid w:val="001363AA"/>
    <w:rsid w:val="0013739A"/>
    <w:rsid w:val="00141DEC"/>
    <w:rsid w:val="00142165"/>
    <w:rsid w:val="001430EA"/>
    <w:rsid w:val="00143FBA"/>
    <w:rsid w:val="0015033B"/>
    <w:rsid w:val="00150749"/>
    <w:rsid w:val="00152E63"/>
    <w:rsid w:val="00152EB0"/>
    <w:rsid w:val="00155C7F"/>
    <w:rsid w:val="0016121B"/>
    <w:rsid w:val="00162434"/>
    <w:rsid w:val="00162870"/>
    <w:rsid w:val="00164BD8"/>
    <w:rsid w:val="0016692E"/>
    <w:rsid w:val="001708C1"/>
    <w:rsid w:val="001717B5"/>
    <w:rsid w:val="00173687"/>
    <w:rsid w:val="00175974"/>
    <w:rsid w:val="00181922"/>
    <w:rsid w:val="00182F06"/>
    <w:rsid w:val="00183E82"/>
    <w:rsid w:val="001878BB"/>
    <w:rsid w:val="00191AE0"/>
    <w:rsid w:val="0019293B"/>
    <w:rsid w:val="00193FC4"/>
    <w:rsid w:val="0019426B"/>
    <w:rsid w:val="00194756"/>
    <w:rsid w:val="0019717A"/>
    <w:rsid w:val="001A24EF"/>
    <w:rsid w:val="001A26F2"/>
    <w:rsid w:val="001A6A4B"/>
    <w:rsid w:val="001A74D7"/>
    <w:rsid w:val="001B135B"/>
    <w:rsid w:val="001B55A9"/>
    <w:rsid w:val="001B6AF6"/>
    <w:rsid w:val="001B7AFC"/>
    <w:rsid w:val="001C0865"/>
    <w:rsid w:val="001C0AED"/>
    <w:rsid w:val="001C3ABA"/>
    <w:rsid w:val="001C5111"/>
    <w:rsid w:val="001D2CA4"/>
    <w:rsid w:val="001D385B"/>
    <w:rsid w:val="001D4849"/>
    <w:rsid w:val="001D59B3"/>
    <w:rsid w:val="001D5F50"/>
    <w:rsid w:val="001D7157"/>
    <w:rsid w:val="001E1E98"/>
    <w:rsid w:val="001E40EF"/>
    <w:rsid w:val="001E7BE8"/>
    <w:rsid w:val="001E7E69"/>
    <w:rsid w:val="001F0248"/>
    <w:rsid w:val="001F15BA"/>
    <w:rsid w:val="001F329F"/>
    <w:rsid w:val="001F3C1C"/>
    <w:rsid w:val="001F3EB3"/>
    <w:rsid w:val="001F4F86"/>
    <w:rsid w:val="001F6A68"/>
    <w:rsid w:val="002028DB"/>
    <w:rsid w:val="00202C2C"/>
    <w:rsid w:val="00203050"/>
    <w:rsid w:val="0020561A"/>
    <w:rsid w:val="002108E1"/>
    <w:rsid w:val="002135AB"/>
    <w:rsid w:val="002144BE"/>
    <w:rsid w:val="00215CEB"/>
    <w:rsid w:val="00227D6D"/>
    <w:rsid w:val="002310F1"/>
    <w:rsid w:val="002320B8"/>
    <w:rsid w:val="00235CD0"/>
    <w:rsid w:val="00240091"/>
    <w:rsid w:val="002407C1"/>
    <w:rsid w:val="00242279"/>
    <w:rsid w:val="0024386F"/>
    <w:rsid w:val="00243997"/>
    <w:rsid w:val="0024516C"/>
    <w:rsid w:val="00245C82"/>
    <w:rsid w:val="0025155E"/>
    <w:rsid w:val="002516AA"/>
    <w:rsid w:val="002627A0"/>
    <w:rsid w:val="00270658"/>
    <w:rsid w:val="002724BA"/>
    <w:rsid w:val="00275210"/>
    <w:rsid w:val="0028521D"/>
    <w:rsid w:val="002867DD"/>
    <w:rsid w:val="00286D79"/>
    <w:rsid w:val="00291B40"/>
    <w:rsid w:val="00297BB7"/>
    <w:rsid w:val="002A18AD"/>
    <w:rsid w:val="002B08BF"/>
    <w:rsid w:val="002B1967"/>
    <w:rsid w:val="002B4008"/>
    <w:rsid w:val="002C142A"/>
    <w:rsid w:val="002C2E3C"/>
    <w:rsid w:val="002C439F"/>
    <w:rsid w:val="002C4443"/>
    <w:rsid w:val="002C51D4"/>
    <w:rsid w:val="002C5A8C"/>
    <w:rsid w:val="002C6BBC"/>
    <w:rsid w:val="002C7403"/>
    <w:rsid w:val="002D0C42"/>
    <w:rsid w:val="002D0E8E"/>
    <w:rsid w:val="002D2140"/>
    <w:rsid w:val="002D51BA"/>
    <w:rsid w:val="002D74D0"/>
    <w:rsid w:val="002E50E5"/>
    <w:rsid w:val="002E6A08"/>
    <w:rsid w:val="002F13EB"/>
    <w:rsid w:val="002F54C0"/>
    <w:rsid w:val="002F7F25"/>
    <w:rsid w:val="00301189"/>
    <w:rsid w:val="00301E4A"/>
    <w:rsid w:val="003107F1"/>
    <w:rsid w:val="00310FF7"/>
    <w:rsid w:val="00313D45"/>
    <w:rsid w:val="003140C7"/>
    <w:rsid w:val="003168B8"/>
    <w:rsid w:val="00322D64"/>
    <w:rsid w:val="00323E09"/>
    <w:rsid w:val="00324779"/>
    <w:rsid w:val="00327024"/>
    <w:rsid w:val="00333344"/>
    <w:rsid w:val="0033362A"/>
    <w:rsid w:val="00333932"/>
    <w:rsid w:val="00333CEA"/>
    <w:rsid w:val="00340A08"/>
    <w:rsid w:val="00340DC0"/>
    <w:rsid w:val="00340E32"/>
    <w:rsid w:val="003424F6"/>
    <w:rsid w:val="00347711"/>
    <w:rsid w:val="00347941"/>
    <w:rsid w:val="00350275"/>
    <w:rsid w:val="003518AA"/>
    <w:rsid w:val="00352165"/>
    <w:rsid w:val="00353182"/>
    <w:rsid w:val="00354073"/>
    <w:rsid w:val="00356153"/>
    <w:rsid w:val="003565D9"/>
    <w:rsid w:val="003602E1"/>
    <w:rsid w:val="003603D7"/>
    <w:rsid w:val="003615D8"/>
    <w:rsid w:val="00362F87"/>
    <w:rsid w:val="0036475F"/>
    <w:rsid w:val="00364C97"/>
    <w:rsid w:val="00364E8D"/>
    <w:rsid w:val="0037026F"/>
    <w:rsid w:val="00370BCA"/>
    <w:rsid w:val="00370C08"/>
    <w:rsid w:val="00371240"/>
    <w:rsid w:val="003735DC"/>
    <w:rsid w:val="00374731"/>
    <w:rsid w:val="00376E59"/>
    <w:rsid w:val="00377736"/>
    <w:rsid w:val="00377EC1"/>
    <w:rsid w:val="00380340"/>
    <w:rsid w:val="003810FA"/>
    <w:rsid w:val="0038765E"/>
    <w:rsid w:val="00387D8E"/>
    <w:rsid w:val="00391072"/>
    <w:rsid w:val="003919F9"/>
    <w:rsid w:val="003920CF"/>
    <w:rsid w:val="003927B4"/>
    <w:rsid w:val="00393281"/>
    <w:rsid w:val="00394AB7"/>
    <w:rsid w:val="003A0C57"/>
    <w:rsid w:val="003A3B23"/>
    <w:rsid w:val="003B0CFD"/>
    <w:rsid w:val="003B23C2"/>
    <w:rsid w:val="003B2675"/>
    <w:rsid w:val="003B33FD"/>
    <w:rsid w:val="003B4BCF"/>
    <w:rsid w:val="003B4F70"/>
    <w:rsid w:val="003B5504"/>
    <w:rsid w:val="003B55F6"/>
    <w:rsid w:val="003B7205"/>
    <w:rsid w:val="003C21E9"/>
    <w:rsid w:val="003C2DAC"/>
    <w:rsid w:val="003C38B5"/>
    <w:rsid w:val="003C3F44"/>
    <w:rsid w:val="003C5022"/>
    <w:rsid w:val="003C5D99"/>
    <w:rsid w:val="003D1087"/>
    <w:rsid w:val="003D739C"/>
    <w:rsid w:val="003D778C"/>
    <w:rsid w:val="003E2F59"/>
    <w:rsid w:val="003E746B"/>
    <w:rsid w:val="003F0789"/>
    <w:rsid w:val="003F2DCA"/>
    <w:rsid w:val="00401882"/>
    <w:rsid w:val="00402955"/>
    <w:rsid w:val="00405E57"/>
    <w:rsid w:val="00407B36"/>
    <w:rsid w:val="004100C8"/>
    <w:rsid w:val="00411085"/>
    <w:rsid w:val="00411164"/>
    <w:rsid w:val="00411916"/>
    <w:rsid w:val="00411DBD"/>
    <w:rsid w:val="00412ACE"/>
    <w:rsid w:val="004145D2"/>
    <w:rsid w:val="0041556E"/>
    <w:rsid w:val="00415604"/>
    <w:rsid w:val="0041642B"/>
    <w:rsid w:val="00416ADC"/>
    <w:rsid w:val="0041784B"/>
    <w:rsid w:val="0042055B"/>
    <w:rsid w:val="00425128"/>
    <w:rsid w:val="00426CB4"/>
    <w:rsid w:val="00431249"/>
    <w:rsid w:val="004321D2"/>
    <w:rsid w:val="00434C19"/>
    <w:rsid w:val="00437DEB"/>
    <w:rsid w:val="00440285"/>
    <w:rsid w:val="00440353"/>
    <w:rsid w:val="0044072B"/>
    <w:rsid w:val="00442F27"/>
    <w:rsid w:val="004461EF"/>
    <w:rsid w:val="00447941"/>
    <w:rsid w:val="00450810"/>
    <w:rsid w:val="00454B05"/>
    <w:rsid w:val="00456726"/>
    <w:rsid w:val="0045678D"/>
    <w:rsid w:val="00460F20"/>
    <w:rsid w:val="00462C59"/>
    <w:rsid w:val="00465594"/>
    <w:rsid w:val="00465ADA"/>
    <w:rsid w:val="00466311"/>
    <w:rsid w:val="004679B7"/>
    <w:rsid w:val="00467E08"/>
    <w:rsid w:val="00470737"/>
    <w:rsid w:val="00471408"/>
    <w:rsid w:val="004738EC"/>
    <w:rsid w:val="0047439F"/>
    <w:rsid w:val="00474DB4"/>
    <w:rsid w:val="00475355"/>
    <w:rsid w:val="00477144"/>
    <w:rsid w:val="00481EC5"/>
    <w:rsid w:val="00484439"/>
    <w:rsid w:val="00485DDE"/>
    <w:rsid w:val="00491380"/>
    <w:rsid w:val="004921EE"/>
    <w:rsid w:val="0049240C"/>
    <w:rsid w:val="00492AF3"/>
    <w:rsid w:val="0049459F"/>
    <w:rsid w:val="00496D19"/>
    <w:rsid w:val="004A366B"/>
    <w:rsid w:val="004A38DD"/>
    <w:rsid w:val="004A7422"/>
    <w:rsid w:val="004A7D98"/>
    <w:rsid w:val="004B005F"/>
    <w:rsid w:val="004B1D16"/>
    <w:rsid w:val="004B2A15"/>
    <w:rsid w:val="004B2F51"/>
    <w:rsid w:val="004B43AE"/>
    <w:rsid w:val="004B4652"/>
    <w:rsid w:val="004B4B27"/>
    <w:rsid w:val="004B76BE"/>
    <w:rsid w:val="004C30ED"/>
    <w:rsid w:val="004C35F9"/>
    <w:rsid w:val="004C37F8"/>
    <w:rsid w:val="004C43BB"/>
    <w:rsid w:val="004C62E4"/>
    <w:rsid w:val="004C69E5"/>
    <w:rsid w:val="004D1793"/>
    <w:rsid w:val="004D5675"/>
    <w:rsid w:val="004E483A"/>
    <w:rsid w:val="004E6288"/>
    <w:rsid w:val="004E76F6"/>
    <w:rsid w:val="004F00D6"/>
    <w:rsid w:val="004F24D0"/>
    <w:rsid w:val="004F269A"/>
    <w:rsid w:val="004F3A20"/>
    <w:rsid w:val="004F7753"/>
    <w:rsid w:val="005015BD"/>
    <w:rsid w:val="00502B6D"/>
    <w:rsid w:val="0050538F"/>
    <w:rsid w:val="005066CA"/>
    <w:rsid w:val="00510790"/>
    <w:rsid w:val="0051306E"/>
    <w:rsid w:val="00514DA8"/>
    <w:rsid w:val="00517795"/>
    <w:rsid w:val="00521B79"/>
    <w:rsid w:val="00523639"/>
    <w:rsid w:val="00531FE5"/>
    <w:rsid w:val="00534C7C"/>
    <w:rsid w:val="00536E8D"/>
    <w:rsid w:val="00537E53"/>
    <w:rsid w:val="005402FA"/>
    <w:rsid w:val="00540D12"/>
    <w:rsid w:val="00541E1A"/>
    <w:rsid w:val="0054336A"/>
    <w:rsid w:val="00543597"/>
    <w:rsid w:val="00547AB0"/>
    <w:rsid w:val="00551CBA"/>
    <w:rsid w:val="00551EF5"/>
    <w:rsid w:val="00554350"/>
    <w:rsid w:val="005565E9"/>
    <w:rsid w:val="00557360"/>
    <w:rsid w:val="005632C9"/>
    <w:rsid w:val="00564AA8"/>
    <w:rsid w:val="00565757"/>
    <w:rsid w:val="005674FF"/>
    <w:rsid w:val="00571911"/>
    <w:rsid w:val="00571F57"/>
    <w:rsid w:val="005729BD"/>
    <w:rsid w:val="00573437"/>
    <w:rsid w:val="00573BE3"/>
    <w:rsid w:val="00576F7F"/>
    <w:rsid w:val="00580154"/>
    <w:rsid w:val="00582AB2"/>
    <w:rsid w:val="00583C39"/>
    <w:rsid w:val="00585BF2"/>
    <w:rsid w:val="00586A90"/>
    <w:rsid w:val="00587F28"/>
    <w:rsid w:val="00590083"/>
    <w:rsid w:val="005909CF"/>
    <w:rsid w:val="0059112B"/>
    <w:rsid w:val="00591E71"/>
    <w:rsid w:val="00594BFE"/>
    <w:rsid w:val="005A0D41"/>
    <w:rsid w:val="005A787F"/>
    <w:rsid w:val="005B1C72"/>
    <w:rsid w:val="005B1CDD"/>
    <w:rsid w:val="005B4059"/>
    <w:rsid w:val="005B6AD4"/>
    <w:rsid w:val="005C1702"/>
    <w:rsid w:val="005C1E3E"/>
    <w:rsid w:val="005C368D"/>
    <w:rsid w:val="005C5AC0"/>
    <w:rsid w:val="005D2615"/>
    <w:rsid w:val="005D2E88"/>
    <w:rsid w:val="005D329F"/>
    <w:rsid w:val="005D3BD7"/>
    <w:rsid w:val="005D5933"/>
    <w:rsid w:val="005D6B2F"/>
    <w:rsid w:val="005E07E8"/>
    <w:rsid w:val="005E135D"/>
    <w:rsid w:val="005E1520"/>
    <w:rsid w:val="005E193D"/>
    <w:rsid w:val="005E1B73"/>
    <w:rsid w:val="005E2728"/>
    <w:rsid w:val="005E3BC3"/>
    <w:rsid w:val="005E4243"/>
    <w:rsid w:val="005F3488"/>
    <w:rsid w:val="005F48ED"/>
    <w:rsid w:val="00605234"/>
    <w:rsid w:val="00606E78"/>
    <w:rsid w:val="00606F27"/>
    <w:rsid w:val="00607BF1"/>
    <w:rsid w:val="0061225A"/>
    <w:rsid w:val="006136A3"/>
    <w:rsid w:val="00613A7F"/>
    <w:rsid w:val="00621715"/>
    <w:rsid w:val="00623808"/>
    <w:rsid w:val="006259CF"/>
    <w:rsid w:val="006277A4"/>
    <w:rsid w:val="00630D4D"/>
    <w:rsid w:val="00631B68"/>
    <w:rsid w:val="00632A74"/>
    <w:rsid w:val="006353FD"/>
    <w:rsid w:val="006362EC"/>
    <w:rsid w:val="00642843"/>
    <w:rsid w:val="00642BF2"/>
    <w:rsid w:val="00645906"/>
    <w:rsid w:val="00651016"/>
    <w:rsid w:val="00654D42"/>
    <w:rsid w:val="00655976"/>
    <w:rsid w:val="00656CFB"/>
    <w:rsid w:val="0066165B"/>
    <w:rsid w:val="00665122"/>
    <w:rsid w:val="00666797"/>
    <w:rsid w:val="00666E02"/>
    <w:rsid w:val="00671768"/>
    <w:rsid w:val="006748B5"/>
    <w:rsid w:val="0067648C"/>
    <w:rsid w:val="00682E71"/>
    <w:rsid w:val="006843B6"/>
    <w:rsid w:val="00691DDC"/>
    <w:rsid w:val="006933A2"/>
    <w:rsid w:val="00696A11"/>
    <w:rsid w:val="00697299"/>
    <w:rsid w:val="006A010B"/>
    <w:rsid w:val="006A0293"/>
    <w:rsid w:val="006A0F0C"/>
    <w:rsid w:val="006A2B6D"/>
    <w:rsid w:val="006A433A"/>
    <w:rsid w:val="006A4655"/>
    <w:rsid w:val="006A7758"/>
    <w:rsid w:val="006B2429"/>
    <w:rsid w:val="006B2770"/>
    <w:rsid w:val="006B2B3C"/>
    <w:rsid w:val="006B4B24"/>
    <w:rsid w:val="006B55B4"/>
    <w:rsid w:val="006B59C1"/>
    <w:rsid w:val="006B75F9"/>
    <w:rsid w:val="006C17AD"/>
    <w:rsid w:val="006C1D81"/>
    <w:rsid w:val="006C3F1A"/>
    <w:rsid w:val="006C600A"/>
    <w:rsid w:val="006C7038"/>
    <w:rsid w:val="006C7378"/>
    <w:rsid w:val="006E0765"/>
    <w:rsid w:val="006E0E82"/>
    <w:rsid w:val="006E29CB"/>
    <w:rsid w:val="006E3EC1"/>
    <w:rsid w:val="006E5A39"/>
    <w:rsid w:val="006E6D2A"/>
    <w:rsid w:val="006E73EF"/>
    <w:rsid w:val="006F2B7E"/>
    <w:rsid w:val="006F4431"/>
    <w:rsid w:val="006F4ADD"/>
    <w:rsid w:val="00700C32"/>
    <w:rsid w:val="00702F7A"/>
    <w:rsid w:val="00703261"/>
    <w:rsid w:val="00706B44"/>
    <w:rsid w:val="00707691"/>
    <w:rsid w:val="007079C9"/>
    <w:rsid w:val="00711C6B"/>
    <w:rsid w:val="00712CF3"/>
    <w:rsid w:val="00713866"/>
    <w:rsid w:val="00714D4D"/>
    <w:rsid w:val="007152E9"/>
    <w:rsid w:val="00716415"/>
    <w:rsid w:val="00717D2B"/>
    <w:rsid w:val="00724159"/>
    <w:rsid w:val="007266D3"/>
    <w:rsid w:val="00732029"/>
    <w:rsid w:val="007324C4"/>
    <w:rsid w:val="00745401"/>
    <w:rsid w:val="007478C3"/>
    <w:rsid w:val="0075538A"/>
    <w:rsid w:val="00755D5E"/>
    <w:rsid w:val="00756395"/>
    <w:rsid w:val="007604BB"/>
    <w:rsid w:val="0076076C"/>
    <w:rsid w:val="00762293"/>
    <w:rsid w:val="007660B8"/>
    <w:rsid w:val="00770AA3"/>
    <w:rsid w:val="00772909"/>
    <w:rsid w:val="007801F8"/>
    <w:rsid w:val="007845B1"/>
    <w:rsid w:val="00785232"/>
    <w:rsid w:val="00786E04"/>
    <w:rsid w:val="0079200B"/>
    <w:rsid w:val="0079239E"/>
    <w:rsid w:val="00792AC8"/>
    <w:rsid w:val="0079701E"/>
    <w:rsid w:val="0079764D"/>
    <w:rsid w:val="007A21EB"/>
    <w:rsid w:val="007A223F"/>
    <w:rsid w:val="007A2A44"/>
    <w:rsid w:val="007A5766"/>
    <w:rsid w:val="007A5DF6"/>
    <w:rsid w:val="007B19F2"/>
    <w:rsid w:val="007B1A93"/>
    <w:rsid w:val="007B1CB8"/>
    <w:rsid w:val="007B3C4E"/>
    <w:rsid w:val="007B7EC3"/>
    <w:rsid w:val="007B7EC7"/>
    <w:rsid w:val="007C1138"/>
    <w:rsid w:val="007C2102"/>
    <w:rsid w:val="007C36C9"/>
    <w:rsid w:val="007D047A"/>
    <w:rsid w:val="007D0B43"/>
    <w:rsid w:val="007D19D2"/>
    <w:rsid w:val="007D41CB"/>
    <w:rsid w:val="007D4273"/>
    <w:rsid w:val="007D4CB9"/>
    <w:rsid w:val="007D51E7"/>
    <w:rsid w:val="007D6401"/>
    <w:rsid w:val="007D6595"/>
    <w:rsid w:val="007E01E4"/>
    <w:rsid w:val="007E4EFB"/>
    <w:rsid w:val="007E5CA1"/>
    <w:rsid w:val="007E7A12"/>
    <w:rsid w:val="007F1878"/>
    <w:rsid w:val="007F4FC1"/>
    <w:rsid w:val="007F7107"/>
    <w:rsid w:val="00800D4C"/>
    <w:rsid w:val="00802A23"/>
    <w:rsid w:val="00803A40"/>
    <w:rsid w:val="008049B8"/>
    <w:rsid w:val="0080722A"/>
    <w:rsid w:val="0081030F"/>
    <w:rsid w:val="00812082"/>
    <w:rsid w:val="00812F4A"/>
    <w:rsid w:val="00813739"/>
    <w:rsid w:val="00813D44"/>
    <w:rsid w:val="00814436"/>
    <w:rsid w:val="008203BF"/>
    <w:rsid w:val="0082087D"/>
    <w:rsid w:val="00825D2F"/>
    <w:rsid w:val="00827DC7"/>
    <w:rsid w:val="00831136"/>
    <w:rsid w:val="00833CA3"/>
    <w:rsid w:val="00835771"/>
    <w:rsid w:val="00836849"/>
    <w:rsid w:val="0083734D"/>
    <w:rsid w:val="008402D6"/>
    <w:rsid w:val="00842263"/>
    <w:rsid w:val="00842933"/>
    <w:rsid w:val="00844512"/>
    <w:rsid w:val="00846082"/>
    <w:rsid w:val="008470FA"/>
    <w:rsid w:val="00850E3B"/>
    <w:rsid w:val="00854BFF"/>
    <w:rsid w:val="00855718"/>
    <w:rsid w:val="0085655B"/>
    <w:rsid w:val="0086082C"/>
    <w:rsid w:val="00860A61"/>
    <w:rsid w:val="00861087"/>
    <w:rsid w:val="00864932"/>
    <w:rsid w:val="00864ADC"/>
    <w:rsid w:val="008702CE"/>
    <w:rsid w:val="00871B6C"/>
    <w:rsid w:val="008735A5"/>
    <w:rsid w:val="00874B0C"/>
    <w:rsid w:val="0087525A"/>
    <w:rsid w:val="0087578D"/>
    <w:rsid w:val="00875B4A"/>
    <w:rsid w:val="00880153"/>
    <w:rsid w:val="0088025F"/>
    <w:rsid w:val="0088050B"/>
    <w:rsid w:val="00880E08"/>
    <w:rsid w:val="00880F97"/>
    <w:rsid w:val="0088133A"/>
    <w:rsid w:val="0089285E"/>
    <w:rsid w:val="0089436C"/>
    <w:rsid w:val="008A1312"/>
    <w:rsid w:val="008A2F42"/>
    <w:rsid w:val="008A2F56"/>
    <w:rsid w:val="008A57F3"/>
    <w:rsid w:val="008B037B"/>
    <w:rsid w:val="008B1D4C"/>
    <w:rsid w:val="008C1C28"/>
    <w:rsid w:val="008C70F4"/>
    <w:rsid w:val="008D1E69"/>
    <w:rsid w:val="008D234C"/>
    <w:rsid w:val="008D365C"/>
    <w:rsid w:val="008D3D7E"/>
    <w:rsid w:val="008D44F2"/>
    <w:rsid w:val="008D7622"/>
    <w:rsid w:val="008E102D"/>
    <w:rsid w:val="008E1DA5"/>
    <w:rsid w:val="008E2203"/>
    <w:rsid w:val="008E48B2"/>
    <w:rsid w:val="008E7547"/>
    <w:rsid w:val="008F3ACE"/>
    <w:rsid w:val="008F6B2B"/>
    <w:rsid w:val="00901626"/>
    <w:rsid w:val="00901640"/>
    <w:rsid w:val="009021A6"/>
    <w:rsid w:val="009030BF"/>
    <w:rsid w:val="00903879"/>
    <w:rsid w:val="00903B52"/>
    <w:rsid w:val="00904BA5"/>
    <w:rsid w:val="00905E88"/>
    <w:rsid w:val="00906C3C"/>
    <w:rsid w:val="0091021C"/>
    <w:rsid w:val="0091032F"/>
    <w:rsid w:val="00910B82"/>
    <w:rsid w:val="00911A6D"/>
    <w:rsid w:val="00914368"/>
    <w:rsid w:val="00914424"/>
    <w:rsid w:val="0091513A"/>
    <w:rsid w:val="0091682A"/>
    <w:rsid w:val="00921FFA"/>
    <w:rsid w:val="00926A8A"/>
    <w:rsid w:val="00927B83"/>
    <w:rsid w:val="00930CCB"/>
    <w:rsid w:val="00931076"/>
    <w:rsid w:val="00932671"/>
    <w:rsid w:val="00934344"/>
    <w:rsid w:val="009345D9"/>
    <w:rsid w:val="00934B15"/>
    <w:rsid w:val="00940C87"/>
    <w:rsid w:val="00942B62"/>
    <w:rsid w:val="00952DEC"/>
    <w:rsid w:val="0095323B"/>
    <w:rsid w:val="009550F3"/>
    <w:rsid w:val="00956A0C"/>
    <w:rsid w:val="00956BD9"/>
    <w:rsid w:val="00957BB8"/>
    <w:rsid w:val="00962489"/>
    <w:rsid w:val="00962E60"/>
    <w:rsid w:val="00966053"/>
    <w:rsid w:val="00967CD3"/>
    <w:rsid w:val="00981AC7"/>
    <w:rsid w:val="009824EA"/>
    <w:rsid w:val="00985D08"/>
    <w:rsid w:val="00986F21"/>
    <w:rsid w:val="00990C2C"/>
    <w:rsid w:val="009927D8"/>
    <w:rsid w:val="00992ADC"/>
    <w:rsid w:val="00994EEB"/>
    <w:rsid w:val="00996F4A"/>
    <w:rsid w:val="009A13D8"/>
    <w:rsid w:val="009A2B9C"/>
    <w:rsid w:val="009A4F2B"/>
    <w:rsid w:val="009A5171"/>
    <w:rsid w:val="009B1F50"/>
    <w:rsid w:val="009C09AB"/>
    <w:rsid w:val="009C14E9"/>
    <w:rsid w:val="009C5BA0"/>
    <w:rsid w:val="009D3077"/>
    <w:rsid w:val="009D5857"/>
    <w:rsid w:val="009D6748"/>
    <w:rsid w:val="009D72C7"/>
    <w:rsid w:val="009E0D8E"/>
    <w:rsid w:val="009E1844"/>
    <w:rsid w:val="009E18D7"/>
    <w:rsid w:val="009E53CD"/>
    <w:rsid w:val="009E69CF"/>
    <w:rsid w:val="009F0B37"/>
    <w:rsid w:val="009F0D1B"/>
    <w:rsid w:val="009F53DD"/>
    <w:rsid w:val="009F5BBD"/>
    <w:rsid w:val="009F5CE5"/>
    <w:rsid w:val="009F67D7"/>
    <w:rsid w:val="009F696D"/>
    <w:rsid w:val="009F6BC6"/>
    <w:rsid w:val="009F6CBC"/>
    <w:rsid w:val="009F74EF"/>
    <w:rsid w:val="00A02826"/>
    <w:rsid w:val="00A034D1"/>
    <w:rsid w:val="00A060C8"/>
    <w:rsid w:val="00A1019B"/>
    <w:rsid w:val="00A1304A"/>
    <w:rsid w:val="00A13F0A"/>
    <w:rsid w:val="00A15D5A"/>
    <w:rsid w:val="00A17328"/>
    <w:rsid w:val="00A2315A"/>
    <w:rsid w:val="00A23A20"/>
    <w:rsid w:val="00A24414"/>
    <w:rsid w:val="00A24443"/>
    <w:rsid w:val="00A246A7"/>
    <w:rsid w:val="00A268B9"/>
    <w:rsid w:val="00A2703A"/>
    <w:rsid w:val="00A27F0D"/>
    <w:rsid w:val="00A31CC0"/>
    <w:rsid w:val="00A326E3"/>
    <w:rsid w:val="00A33DFF"/>
    <w:rsid w:val="00A35115"/>
    <w:rsid w:val="00A36D9A"/>
    <w:rsid w:val="00A37700"/>
    <w:rsid w:val="00A402CD"/>
    <w:rsid w:val="00A437A8"/>
    <w:rsid w:val="00A44655"/>
    <w:rsid w:val="00A451DC"/>
    <w:rsid w:val="00A46748"/>
    <w:rsid w:val="00A50EE9"/>
    <w:rsid w:val="00A534D4"/>
    <w:rsid w:val="00A554AB"/>
    <w:rsid w:val="00A55CA7"/>
    <w:rsid w:val="00A57062"/>
    <w:rsid w:val="00A57744"/>
    <w:rsid w:val="00A61ACA"/>
    <w:rsid w:val="00A67781"/>
    <w:rsid w:val="00A70ED5"/>
    <w:rsid w:val="00A726B9"/>
    <w:rsid w:val="00A74062"/>
    <w:rsid w:val="00A761F9"/>
    <w:rsid w:val="00A8004E"/>
    <w:rsid w:val="00A805B2"/>
    <w:rsid w:val="00A86572"/>
    <w:rsid w:val="00A86C90"/>
    <w:rsid w:val="00A910C8"/>
    <w:rsid w:val="00A91CB2"/>
    <w:rsid w:val="00A92B53"/>
    <w:rsid w:val="00A94FA6"/>
    <w:rsid w:val="00A977E4"/>
    <w:rsid w:val="00A97B49"/>
    <w:rsid w:val="00AA33EE"/>
    <w:rsid w:val="00AA36B6"/>
    <w:rsid w:val="00AA49A0"/>
    <w:rsid w:val="00AA6710"/>
    <w:rsid w:val="00AA785D"/>
    <w:rsid w:val="00AB0681"/>
    <w:rsid w:val="00AB1EE1"/>
    <w:rsid w:val="00AB215E"/>
    <w:rsid w:val="00AB381E"/>
    <w:rsid w:val="00AB4EF3"/>
    <w:rsid w:val="00AB5062"/>
    <w:rsid w:val="00AC1397"/>
    <w:rsid w:val="00AC270E"/>
    <w:rsid w:val="00AC2A80"/>
    <w:rsid w:val="00AC3509"/>
    <w:rsid w:val="00AC3A15"/>
    <w:rsid w:val="00AC4DF4"/>
    <w:rsid w:val="00AC556C"/>
    <w:rsid w:val="00AD520B"/>
    <w:rsid w:val="00AD65DC"/>
    <w:rsid w:val="00AE1D9A"/>
    <w:rsid w:val="00AE3BCC"/>
    <w:rsid w:val="00AE3DD9"/>
    <w:rsid w:val="00AE4DF4"/>
    <w:rsid w:val="00AE6875"/>
    <w:rsid w:val="00AF5174"/>
    <w:rsid w:val="00B003E7"/>
    <w:rsid w:val="00B017EC"/>
    <w:rsid w:val="00B05E4A"/>
    <w:rsid w:val="00B06AC7"/>
    <w:rsid w:val="00B06ECD"/>
    <w:rsid w:val="00B20363"/>
    <w:rsid w:val="00B215D9"/>
    <w:rsid w:val="00B21AB2"/>
    <w:rsid w:val="00B23B2F"/>
    <w:rsid w:val="00B372AE"/>
    <w:rsid w:val="00B40E26"/>
    <w:rsid w:val="00B425C3"/>
    <w:rsid w:val="00B4373D"/>
    <w:rsid w:val="00B440AD"/>
    <w:rsid w:val="00B47115"/>
    <w:rsid w:val="00B479BB"/>
    <w:rsid w:val="00B53E7E"/>
    <w:rsid w:val="00B577C6"/>
    <w:rsid w:val="00B6342E"/>
    <w:rsid w:val="00B6486F"/>
    <w:rsid w:val="00B70D96"/>
    <w:rsid w:val="00B7113F"/>
    <w:rsid w:val="00B81011"/>
    <w:rsid w:val="00B835A3"/>
    <w:rsid w:val="00B86ED9"/>
    <w:rsid w:val="00B90D2A"/>
    <w:rsid w:val="00B9476D"/>
    <w:rsid w:val="00B97201"/>
    <w:rsid w:val="00BA2BCF"/>
    <w:rsid w:val="00BA377E"/>
    <w:rsid w:val="00BA5B14"/>
    <w:rsid w:val="00BA73B6"/>
    <w:rsid w:val="00BA7DA6"/>
    <w:rsid w:val="00BA7E27"/>
    <w:rsid w:val="00BB01A1"/>
    <w:rsid w:val="00BB2583"/>
    <w:rsid w:val="00BB2603"/>
    <w:rsid w:val="00BB3ECC"/>
    <w:rsid w:val="00BB4FCD"/>
    <w:rsid w:val="00BB64B4"/>
    <w:rsid w:val="00BC04E9"/>
    <w:rsid w:val="00BC134A"/>
    <w:rsid w:val="00BC765E"/>
    <w:rsid w:val="00BD13EA"/>
    <w:rsid w:val="00BD1B4D"/>
    <w:rsid w:val="00BD2596"/>
    <w:rsid w:val="00BD3682"/>
    <w:rsid w:val="00BD71DC"/>
    <w:rsid w:val="00BE1C9A"/>
    <w:rsid w:val="00BE3808"/>
    <w:rsid w:val="00BE57A6"/>
    <w:rsid w:val="00BE7949"/>
    <w:rsid w:val="00BF09CF"/>
    <w:rsid w:val="00C00A56"/>
    <w:rsid w:val="00C023C5"/>
    <w:rsid w:val="00C038A3"/>
    <w:rsid w:val="00C03B88"/>
    <w:rsid w:val="00C062E9"/>
    <w:rsid w:val="00C069AA"/>
    <w:rsid w:val="00C07B64"/>
    <w:rsid w:val="00C10E7F"/>
    <w:rsid w:val="00C13721"/>
    <w:rsid w:val="00C14531"/>
    <w:rsid w:val="00C14FE4"/>
    <w:rsid w:val="00C224F5"/>
    <w:rsid w:val="00C2327F"/>
    <w:rsid w:val="00C237B1"/>
    <w:rsid w:val="00C277BC"/>
    <w:rsid w:val="00C3066D"/>
    <w:rsid w:val="00C319FC"/>
    <w:rsid w:val="00C35F6E"/>
    <w:rsid w:val="00C3784D"/>
    <w:rsid w:val="00C440E0"/>
    <w:rsid w:val="00C45DBA"/>
    <w:rsid w:val="00C4683E"/>
    <w:rsid w:val="00C5217E"/>
    <w:rsid w:val="00C52416"/>
    <w:rsid w:val="00C53C29"/>
    <w:rsid w:val="00C543F4"/>
    <w:rsid w:val="00C56DD1"/>
    <w:rsid w:val="00C57D34"/>
    <w:rsid w:val="00C6111D"/>
    <w:rsid w:val="00C62707"/>
    <w:rsid w:val="00C6291C"/>
    <w:rsid w:val="00C62DB5"/>
    <w:rsid w:val="00C633CB"/>
    <w:rsid w:val="00C64020"/>
    <w:rsid w:val="00C6446E"/>
    <w:rsid w:val="00C664CD"/>
    <w:rsid w:val="00C736B7"/>
    <w:rsid w:val="00C814D1"/>
    <w:rsid w:val="00C81D4A"/>
    <w:rsid w:val="00C8762C"/>
    <w:rsid w:val="00C91C14"/>
    <w:rsid w:val="00C9448F"/>
    <w:rsid w:val="00CA00F9"/>
    <w:rsid w:val="00CA2961"/>
    <w:rsid w:val="00CB08D3"/>
    <w:rsid w:val="00CB1201"/>
    <w:rsid w:val="00CB3323"/>
    <w:rsid w:val="00CB50D7"/>
    <w:rsid w:val="00CB6B6F"/>
    <w:rsid w:val="00CB7177"/>
    <w:rsid w:val="00CB76F1"/>
    <w:rsid w:val="00CB7CED"/>
    <w:rsid w:val="00CC070F"/>
    <w:rsid w:val="00CC1998"/>
    <w:rsid w:val="00CC4946"/>
    <w:rsid w:val="00CC64A1"/>
    <w:rsid w:val="00CD407E"/>
    <w:rsid w:val="00CD79CD"/>
    <w:rsid w:val="00CE07B6"/>
    <w:rsid w:val="00CE19CA"/>
    <w:rsid w:val="00CE2B93"/>
    <w:rsid w:val="00CE509D"/>
    <w:rsid w:val="00CE6A19"/>
    <w:rsid w:val="00CF12BC"/>
    <w:rsid w:val="00CF2A0D"/>
    <w:rsid w:val="00CF314B"/>
    <w:rsid w:val="00CF3B11"/>
    <w:rsid w:val="00CF47F6"/>
    <w:rsid w:val="00CF5CA0"/>
    <w:rsid w:val="00CF615C"/>
    <w:rsid w:val="00D014D1"/>
    <w:rsid w:val="00D063E4"/>
    <w:rsid w:val="00D07B3A"/>
    <w:rsid w:val="00D175CD"/>
    <w:rsid w:val="00D270A4"/>
    <w:rsid w:val="00D3118F"/>
    <w:rsid w:val="00D31FE9"/>
    <w:rsid w:val="00D3272D"/>
    <w:rsid w:val="00D3434F"/>
    <w:rsid w:val="00D34E0D"/>
    <w:rsid w:val="00D34E1B"/>
    <w:rsid w:val="00D36529"/>
    <w:rsid w:val="00D376BA"/>
    <w:rsid w:val="00D378D8"/>
    <w:rsid w:val="00D37955"/>
    <w:rsid w:val="00D37ABD"/>
    <w:rsid w:val="00D434A0"/>
    <w:rsid w:val="00D44BCC"/>
    <w:rsid w:val="00D45634"/>
    <w:rsid w:val="00D53FFC"/>
    <w:rsid w:val="00D551D3"/>
    <w:rsid w:val="00D5568A"/>
    <w:rsid w:val="00D5798C"/>
    <w:rsid w:val="00D608A4"/>
    <w:rsid w:val="00D61811"/>
    <w:rsid w:val="00D61F53"/>
    <w:rsid w:val="00D63D73"/>
    <w:rsid w:val="00D63F0E"/>
    <w:rsid w:val="00D64452"/>
    <w:rsid w:val="00D66214"/>
    <w:rsid w:val="00D66E1E"/>
    <w:rsid w:val="00D675DC"/>
    <w:rsid w:val="00D701F7"/>
    <w:rsid w:val="00D70696"/>
    <w:rsid w:val="00D72721"/>
    <w:rsid w:val="00D73CE4"/>
    <w:rsid w:val="00D73ECA"/>
    <w:rsid w:val="00D75722"/>
    <w:rsid w:val="00D763BB"/>
    <w:rsid w:val="00D80CF5"/>
    <w:rsid w:val="00D85627"/>
    <w:rsid w:val="00D8695D"/>
    <w:rsid w:val="00D90DE7"/>
    <w:rsid w:val="00D92407"/>
    <w:rsid w:val="00DA01DE"/>
    <w:rsid w:val="00DA24EE"/>
    <w:rsid w:val="00DA5BBA"/>
    <w:rsid w:val="00DA7427"/>
    <w:rsid w:val="00DB0565"/>
    <w:rsid w:val="00DB26D2"/>
    <w:rsid w:val="00DB28AC"/>
    <w:rsid w:val="00DB5931"/>
    <w:rsid w:val="00DB67C9"/>
    <w:rsid w:val="00DB7F40"/>
    <w:rsid w:val="00DC0C95"/>
    <w:rsid w:val="00DC12D9"/>
    <w:rsid w:val="00DC2145"/>
    <w:rsid w:val="00DC4812"/>
    <w:rsid w:val="00DC4F0B"/>
    <w:rsid w:val="00DC69B5"/>
    <w:rsid w:val="00DC74F7"/>
    <w:rsid w:val="00DD2504"/>
    <w:rsid w:val="00DD6580"/>
    <w:rsid w:val="00DD7895"/>
    <w:rsid w:val="00DE08BE"/>
    <w:rsid w:val="00DE4D4C"/>
    <w:rsid w:val="00DE7211"/>
    <w:rsid w:val="00DF1F04"/>
    <w:rsid w:val="00DF4B12"/>
    <w:rsid w:val="00E00ADA"/>
    <w:rsid w:val="00E01D7F"/>
    <w:rsid w:val="00E01F4E"/>
    <w:rsid w:val="00E025B1"/>
    <w:rsid w:val="00E03588"/>
    <w:rsid w:val="00E05C03"/>
    <w:rsid w:val="00E068B7"/>
    <w:rsid w:val="00E16871"/>
    <w:rsid w:val="00E16CF0"/>
    <w:rsid w:val="00E17C72"/>
    <w:rsid w:val="00E213E3"/>
    <w:rsid w:val="00E21FC6"/>
    <w:rsid w:val="00E270C6"/>
    <w:rsid w:val="00E279C7"/>
    <w:rsid w:val="00E33378"/>
    <w:rsid w:val="00E33E7F"/>
    <w:rsid w:val="00E34095"/>
    <w:rsid w:val="00E348ED"/>
    <w:rsid w:val="00E37EFB"/>
    <w:rsid w:val="00E416E5"/>
    <w:rsid w:val="00E41AE8"/>
    <w:rsid w:val="00E431A9"/>
    <w:rsid w:val="00E4562D"/>
    <w:rsid w:val="00E464F7"/>
    <w:rsid w:val="00E46BFB"/>
    <w:rsid w:val="00E47E1E"/>
    <w:rsid w:val="00E5451F"/>
    <w:rsid w:val="00E54908"/>
    <w:rsid w:val="00E5786F"/>
    <w:rsid w:val="00E62699"/>
    <w:rsid w:val="00E669E2"/>
    <w:rsid w:val="00E76135"/>
    <w:rsid w:val="00E81230"/>
    <w:rsid w:val="00E8202A"/>
    <w:rsid w:val="00E82F4F"/>
    <w:rsid w:val="00E837FC"/>
    <w:rsid w:val="00E8631E"/>
    <w:rsid w:val="00E864DF"/>
    <w:rsid w:val="00E87DB2"/>
    <w:rsid w:val="00E90C74"/>
    <w:rsid w:val="00E93983"/>
    <w:rsid w:val="00EA00F9"/>
    <w:rsid w:val="00EA3628"/>
    <w:rsid w:val="00EB2CC3"/>
    <w:rsid w:val="00EB2DCE"/>
    <w:rsid w:val="00EB3C91"/>
    <w:rsid w:val="00EC0E0C"/>
    <w:rsid w:val="00EC2844"/>
    <w:rsid w:val="00EC2AA9"/>
    <w:rsid w:val="00EC44C8"/>
    <w:rsid w:val="00EC5500"/>
    <w:rsid w:val="00ED005E"/>
    <w:rsid w:val="00ED18F8"/>
    <w:rsid w:val="00ED1A53"/>
    <w:rsid w:val="00ED2440"/>
    <w:rsid w:val="00ED29E1"/>
    <w:rsid w:val="00EE07BD"/>
    <w:rsid w:val="00EE54C9"/>
    <w:rsid w:val="00EE663E"/>
    <w:rsid w:val="00EE6EDA"/>
    <w:rsid w:val="00EE778E"/>
    <w:rsid w:val="00EF0761"/>
    <w:rsid w:val="00EF0A82"/>
    <w:rsid w:val="00EF6719"/>
    <w:rsid w:val="00EF6C6C"/>
    <w:rsid w:val="00F03505"/>
    <w:rsid w:val="00F056FC"/>
    <w:rsid w:val="00F0632F"/>
    <w:rsid w:val="00F069AE"/>
    <w:rsid w:val="00F10476"/>
    <w:rsid w:val="00F104C6"/>
    <w:rsid w:val="00F135D8"/>
    <w:rsid w:val="00F17040"/>
    <w:rsid w:val="00F214D7"/>
    <w:rsid w:val="00F23B26"/>
    <w:rsid w:val="00F24D46"/>
    <w:rsid w:val="00F25878"/>
    <w:rsid w:val="00F27DBF"/>
    <w:rsid w:val="00F31299"/>
    <w:rsid w:val="00F32CCC"/>
    <w:rsid w:val="00F3534A"/>
    <w:rsid w:val="00F35BFB"/>
    <w:rsid w:val="00F36837"/>
    <w:rsid w:val="00F36ACC"/>
    <w:rsid w:val="00F37E25"/>
    <w:rsid w:val="00F42BFB"/>
    <w:rsid w:val="00F51609"/>
    <w:rsid w:val="00F53561"/>
    <w:rsid w:val="00F54C9D"/>
    <w:rsid w:val="00F55547"/>
    <w:rsid w:val="00F55C25"/>
    <w:rsid w:val="00F55EF5"/>
    <w:rsid w:val="00F577B5"/>
    <w:rsid w:val="00F607A4"/>
    <w:rsid w:val="00F619CD"/>
    <w:rsid w:val="00F66AE4"/>
    <w:rsid w:val="00F717B1"/>
    <w:rsid w:val="00F73727"/>
    <w:rsid w:val="00F766A7"/>
    <w:rsid w:val="00F76E5C"/>
    <w:rsid w:val="00F81006"/>
    <w:rsid w:val="00F81367"/>
    <w:rsid w:val="00F844B6"/>
    <w:rsid w:val="00F85325"/>
    <w:rsid w:val="00F87215"/>
    <w:rsid w:val="00F901C1"/>
    <w:rsid w:val="00F90583"/>
    <w:rsid w:val="00F90F86"/>
    <w:rsid w:val="00F92C5A"/>
    <w:rsid w:val="00FA1A05"/>
    <w:rsid w:val="00FA313C"/>
    <w:rsid w:val="00FA3831"/>
    <w:rsid w:val="00FA3A21"/>
    <w:rsid w:val="00FA4757"/>
    <w:rsid w:val="00FA4926"/>
    <w:rsid w:val="00FA72A5"/>
    <w:rsid w:val="00FB387A"/>
    <w:rsid w:val="00FB5741"/>
    <w:rsid w:val="00FC0F72"/>
    <w:rsid w:val="00FC1C62"/>
    <w:rsid w:val="00FC42DA"/>
    <w:rsid w:val="00FD1DD1"/>
    <w:rsid w:val="00FD22B1"/>
    <w:rsid w:val="00FD33F1"/>
    <w:rsid w:val="00FD3566"/>
    <w:rsid w:val="00FD3F0B"/>
    <w:rsid w:val="00FD519C"/>
    <w:rsid w:val="00FE0C14"/>
    <w:rsid w:val="00FE1657"/>
    <w:rsid w:val="00FE2013"/>
    <w:rsid w:val="00FE2193"/>
    <w:rsid w:val="00FE3C71"/>
    <w:rsid w:val="00FE5397"/>
    <w:rsid w:val="00FE6581"/>
    <w:rsid w:val="00FE6B03"/>
    <w:rsid w:val="00FE70E5"/>
    <w:rsid w:val="00FE7F7E"/>
    <w:rsid w:val="00FF4F39"/>
    <w:rsid w:val="00FF50D8"/>
    <w:rsid w:val="00FF6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5433D"/>
  <w15:docId w15:val="{7169D5FC-E1A1-4C7C-A4BE-5E442104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C44C8"/>
    <w:rPr>
      <w:sz w:val="24"/>
      <w:szCs w:val="24"/>
    </w:rPr>
  </w:style>
  <w:style w:type="paragraph" w:styleId="Heading1">
    <w:name w:val="heading 1"/>
    <w:basedOn w:val="BodyText"/>
    <w:next w:val="BodyText"/>
    <w:link w:val="Heading1Char"/>
    <w:rsid w:val="00EC44C8"/>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C44C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C44C8"/>
    <w:pPr>
      <w:spacing w:before="560" w:line="320" w:lineRule="exact"/>
      <w:ind w:left="0" w:firstLine="0"/>
      <w:outlineLvl w:val="2"/>
    </w:pPr>
    <w:rPr>
      <w:sz w:val="26"/>
    </w:rPr>
  </w:style>
  <w:style w:type="paragraph" w:styleId="Heading4">
    <w:name w:val="heading 4"/>
    <w:basedOn w:val="Heading3"/>
    <w:next w:val="BodyText"/>
    <w:link w:val="Heading4Char"/>
    <w:qFormat/>
    <w:rsid w:val="00EC44C8"/>
    <w:pPr>
      <w:spacing w:before="480"/>
      <w:outlineLvl w:val="3"/>
    </w:pPr>
    <w:rPr>
      <w:b w:val="0"/>
      <w:sz w:val="24"/>
    </w:rPr>
  </w:style>
  <w:style w:type="paragraph" w:styleId="Heading5">
    <w:name w:val="heading 5"/>
    <w:basedOn w:val="Heading4"/>
    <w:next w:val="BodyText"/>
    <w:link w:val="Heading5Char"/>
    <w:qFormat/>
    <w:rsid w:val="00EC44C8"/>
    <w:pPr>
      <w:outlineLvl w:val="4"/>
    </w:pPr>
    <w:rPr>
      <w:i/>
      <w:sz w:val="22"/>
    </w:rPr>
  </w:style>
  <w:style w:type="paragraph" w:styleId="Heading6">
    <w:name w:val="heading 6"/>
    <w:basedOn w:val="BodyText"/>
    <w:next w:val="BodyText"/>
    <w:link w:val="Heading6Char"/>
    <w:semiHidden/>
    <w:rsid w:val="00EC44C8"/>
    <w:pPr>
      <w:spacing w:after="60"/>
      <w:jc w:val="left"/>
      <w:outlineLvl w:val="5"/>
    </w:pPr>
    <w:rPr>
      <w:i/>
      <w:sz w:val="22"/>
    </w:rPr>
  </w:style>
  <w:style w:type="paragraph" w:styleId="Heading7">
    <w:name w:val="heading 7"/>
    <w:basedOn w:val="BodyText"/>
    <w:next w:val="BodyText"/>
    <w:link w:val="Heading7Char"/>
    <w:semiHidden/>
    <w:rsid w:val="00EC44C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C44C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C44C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C44C8"/>
    <w:pPr>
      <w:spacing w:before="240" w:line="300" w:lineRule="atLeast"/>
      <w:jc w:val="both"/>
    </w:pPr>
    <w:rPr>
      <w:sz w:val="24"/>
    </w:rPr>
  </w:style>
  <w:style w:type="paragraph" w:styleId="Footer">
    <w:name w:val="footer"/>
    <w:basedOn w:val="BodyText"/>
    <w:link w:val="FooterChar"/>
    <w:rsid w:val="00EC44C8"/>
    <w:pPr>
      <w:spacing w:before="80" w:line="200" w:lineRule="exact"/>
      <w:ind w:right="6"/>
      <w:jc w:val="left"/>
    </w:pPr>
    <w:rPr>
      <w:rFonts w:ascii="Arial" w:hAnsi="Arial"/>
      <w:caps/>
      <w:spacing w:val="-4"/>
      <w:sz w:val="16"/>
    </w:rPr>
  </w:style>
  <w:style w:type="paragraph" w:customStyle="1" w:styleId="FooterEnd">
    <w:name w:val="Footer End"/>
    <w:basedOn w:val="Footer"/>
    <w:rsid w:val="00EC44C8"/>
    <w:pPr>
      <w:spacing w:before="0" w:line="20" w:lineRule="exact"/>
    </w:pPr>
  </w:style>
  <w:style w:type="paragraph" w:styleId="Header">
    <w:name w:val="header"/>
    <w:basedOn w:val="BodyText"/>
    <w:link w:val="HeaderChar"/>
    <w:rsid w:val="00EC44C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C44C8"/>
    <w:pPr>
      <w:spacing w:line="20" w:lineRule="exact"/>
    </w:pPr>
    <w:rPr>
      <w:sz w:val="16"/>
    </w:rPr>
  </w:style>
  <w:style w:type="paragraph" w:customStyle="1" w:styleId="HeaderEven">
    <w:name w:val="Header Even"/>
    <w:basedOn w:val="Header"/>
    <w:semiHidden/>
    <w:rsid w:val="00EC44C8"/>
  </w:style>
  <w:style w:type="paragraph" w:customStyle="1" w:styleId="HeaderOdd">
    <w:name w:val="Header Odd"/>
    <w:basedOn w:val="Header"/>
    <w:semiHidden/>
    <w:rsid w:val="00EC44C8"/>
  </w:style>
  <w:style w:type="character" w:styleId="PageNumber">
    <w:name w:val="page number"/>
    <w:basedOn w:val="DefaultParagraphFont"/>
    <w:rsid w:val="00EC44C8"/>
    <w:rPr>
      <w:rFonts w:ascii="Arial" w:hAnsi="Arial"/>
      <w:b/>
      <w:sz w:val="16"/>
    </w:rPr>
  </w:style>
  <w:style w:type="paragraph" w:customStyle="1" w:styleId="Abbreviation">
    <w:name w:val="Abbreviation"/>
    <w:basedOn w:val="BodyText"/>
    <w:rsid w:val="00EC44C8"/>
    <w:pPr>
      <w:spacing w:before="120"/>
      <w:ind w:left="2381" w:hanging="2381"/>
      <w:jc w:val="left"/>
    </w:pPr>
  </w:style>
  <w:style w:type="paragraph" w:customStyle="1" w:styleId="Box">
    <w:name w:val="Box"/>
    <w:basedOn w:val="BodyText"/>
    <w:link w:val="BoxChar"/>
    <w:qFormat/>
    <w:rsid w:val="00EC44C8"/>
    <w:pPr>
      <w:keepNext/>
      <w:spacing w:before="120" w:line="260" w:lineRule="atLeast"/>
    </w:pPr>
    <w:rPr>
      <w:rFonts w:ascii="Arial" w:hAnsi="Arial"/>
      <w:sz w:val="20"/>
    </w:rPr>
  </w:style>
  <w:style w:type="paragraph" w:customStyle="1" w:styleId="BoxContinued">
    <w:name w:val="Box Continued"/>
    <w:basedOn w:val="BodyText"/>
    <w:next w:val="BodyText"/>
    <w:semiHidden/>
    <w:rsid w:val="00EC44C8"/>
    <w:pPr>
      <w:spacing w:before="180" w:line="220" w:lineRule="exact"/>
      <w:jc w:val="right"/>
    </w:pPr>
    <w:rPr>
      <w:rFonts w:ascii="Arial" w:hAnsi="Arial"/>
      <w:sz w:val="18"/>
    </w:rPr>
  </w:style>
  <w:style w:type="paragraph" w:customStyle="1" w:styleId="BoxHeading1">
    <w:name w:val="Box Heading 1"/>
    <w:basedOn w:val="BodyText"/>
    <w:next w:val="Box"/>
    <w:rsid w:val="00EC44C8"/>
    <w:pPr>
      <w:keepNext/>
      <w:spacing w:before="200" w:line="280" w:lineRule="atLeast"/>
    </w:pPr>
    <w:rPr>
      <w:rFonts w:ascii="Arial" w:hAnsi="Arial"/>
      <w:b/>
      <w:sz w:val="22"/>
    </w:rPr>
  </w:style>
  <w:style w:type="paragraph" w:customStyle="1" w:styleId="BoxHeading2">
    <w:name w:val="Box Heading 2"/>
    <w:basedOn w:val="BoxHeading1"/>
    <w:next w:val="Box"/>
    <w:rsid w:val="00EC44C8"/>
    <w:rPr>
      <w:b w:val="0"/>
      <w:i/>
    </w:rPr>
  </w:style>
  <w:style w:type="paragraph" w:customStyle="1" w:styleId="BoxListBullet">
    <w:name w:val="Box List Bullet"/>
    <w:basedOn w:val="BodyText"/>
    <w:link w:val="BoxListBulletChar"/>
    <w:rsid w:val="00EC44C8"/>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EC44C8"/>
    <w:pPr>
      <w:numPr>
        <w:numId w:val="2"/>
      </w:numPr>
    </w:pPr>
  </w:style>
  <w:style w:type="paragraph" w:customStyle="1" w:styleId="BoxListNumber">
    <w:name w:val="Box List Number"/>
    <w:basedOn w:val="BodyText"/>
    <w:rsid w:val="00EC44C8"/>
    <w:pPr>
      <w:keepNext/>
      <w:numPr>
        <w:numId w:val="5"/>
      </w:numPr>
      <w:spacing w:before="100" w:line="260" w:lineRule="atLeast"/>
    </w:pPr>
    <w:rPr>
      <w:rFonts w:ascii="Arial" w:hAnsi="Arial"/>
      <w:sz w:val="20"/>
    </w:rPr>
  </w:style>
  <w:style w:type="paragraph" w:customStyle="1" w:styleId="BoxListNumber2">
    <w:name w:val="Box List Number 2"/>
    <w:basedOn w:val="BoxListNumber"/>
    <w:rsid w:val="00EC44C8"/>
    <w:pPr>
      <w:numPr>
        <w:ilvl w:val="1"/>
      </w:numPr>
    </w:pPr>
  </w:style>
  <w:style w:type="paragraph" w:customStyle="1" w:styleId="BoxQuote">
    <w:name w:val="Box Quote"/>
    <w:basedOn w:val="BodyText"/>
    <w:next w:val="Box"/>
    <w:qFormat/>
    <w:rsid w:val="00EC44C8"/>
    <w:pPr>
      <w:keepNext/>
      <w:spacing w:before="60" w:line="240" w:lineRule="exact"/>
      <w:ind w:left="284"/>
    </w:pPr>
    <w:rPr>
      <w:rFonts w:ascii="Arial" w:hAnsi="Arial"/>
      <w:sz w:val="18"/>
    </w:rPr>
  </w:style>
  <w:style w:type="paragraph" w:customStyle="1" w:styleId="Note">
    <w:name w:val="Note"/>
    <w:basedOn w:val="BodyText"/>
    <w:next w:val="BodyText"/>
    <w:link w:val="NoteChar"/>
    <w:rsid w:val="00EC44C8"/>
    <w:pPr>
      <w:keepLines/>
      <w:spacing w:before="80" w:line="220" w:lineRule="exact"/>
    </w:pPr>
    <w:rPr>
      <w:rFonts w:ascii="Arial" w:hAnsi="Arial"/>
      <w:sz w:val="18"/>
    </w:rPr>
  </w:style>
  <w:style w:type="paragraph" w:customStyle="1" w:styleId="Source">
    <w:name w:val="Source"/>
    <w:basedOn w:val="Normal"/>
    <w:next w:val="BodyText"/>
    <w:rsid w:val="00EC44C8"/>
    <w:pPr>
      <w:keepLines/>
      <w:spacing w:before="80" w:line="220" w:lineRule="exact"/>
      <w:jc w:val="both"/>
    </w:pPr>
    <w:rPr>
      <w:rFonts w:ascii="Arial" w:hAnsi="Arial"/>
      <w:sz w:val="18"/>
      <w:szCs w:val="20"/>
    </w:rPr>
  </w:style>
  <w:style w:type="paragraph" w:customStyle="1" w:styleId="BoxSource">
    <w:name w:val="Box Source"/>
    <w:basedOn w:val="Source"/>
    <w:next w:val="BodyText"/>
    <w:rsid w:val="00EC44C8"/>
    <w:pPr>
      <w:spacing w:before="120"/>
    </w:pPr>
  </w:style>
  <w:style w:type="paragraph" w:customStyle="1" w:styleId="BoxSpaceAbove">
    <w:name w:val="Box Space Above"/>
    <w:basedOn w:val="BodyText"/>
    <w:rsid w:val="00EC44C8"/>
    <w:pPr>
      <w:keepNext/>
      <w:spacing w:before="360" w:line="80" w:lineRule="exact"/>
      <w:jc w:val="left"/>
    </w:pPr>
  </w:style>
  <w:style w:type="paragraph" w:styleId="Caption">
    <w:name w:val="caption"/>
    <w:basedOn w:val="Normal"/>
    <w:next w:val="BodyText"/>
    <w:rsid w:val="00EC44C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EC44C8"/>
    <w:pPr>
      <w:spacing w:before="120" w:after="0"/>
    </w:pPr>
  </w:style>
  <w:style w:type="paragraph" w:customStyle="1" w:styleId="BoxSubtitle">
    <w:name w:val="Box Subtitle"/>
    <w:basedOn w:val="BoxTitle"/>
    <w:next w:val="Normal"/>
    <w:rsid w:val="00EC44C8"/>
    <w:pPr>
      <w:spacing w:after="80" w:line="200" w:lineRule="exact"/>
      <w:ind w:firstLine="0"/>
    </w:pPr>
    <w:rPr>
      <w:b w:val="0"/>
      <w:sz w:val="20"/>
    </w:rPr>
  </w:style>
  <w:style w:type="paragraph" w:customStyle="1" w:styleId="Chapter">
    <w:name w:val="Chapter"/>
    <w:basedOn w:val="Heading1"/>
    <w:next w:val="BodyText"/>
    <w:semiHidden/>
    <w:rsid w:val="00EC44C8"/>
    <w:pPr>
      <w:ind w:left="0" w:firstLine="0"/>
      <w:outlineLvl w:val="9"/>
    </w:pPr>
  </w:style>
  <w:style w:type="paragraph" w:customStyle="1" w:styleId="ChapterSummary">
    <w:name w:val="Chapter Summary"/>
    <w:basedOn w:val="BodyText"/>
    <w:rsid w:val="00EC44C8"/>
    <w:pPr>
      <w:spacing w:line="280" w:lineRule="atLeast"/>
      <w:ind w:left="907"/>
    </w:pPr>
    <w:rPr>
      <w:rFonts w:ascii="Arial" w:hAnsi="Arial"/>
      <w:b/>
      <w:sz w:val="20"/>
    </w:rPr>
  </w:style>
  <w:style w:type="character" w:styleId="CommentReference">
    <w:name w:val="annotation reference"/>
    <w:basedOn w:val="DefaultParagraphFont"/>
    <w:semiHidden/>
    <w:rsid w:val="00EC44C8"/>
    <w:rPr>
      <w:b/>
      <w:vanish/>
      <w:color w:val="FF00FF"/>
      <w:sz w:val="20"/>
    </w:rPr>
  </w:style>
  <w:style w:type="paragraph" w:styleId="CommentText">
    <w:name w:val="annotation text"/>
    <w:basedOn w:val="Normal"/>
    <w:link w:val="CommentTextChar"/>
    <w:semiHidden/>
    <w:rsid w:val="00EC44C8"/>
    <w:pPr>
      <w:spacing w:before="120" w:line="240" w:lineRule="atLeast"/>
      <w:ind w:left="567" w:hanging="567"/>
    </w:pPr>
    <w:rPr>
      <w:sz w:val="20"/>
    </w:rPr>
  </w:style>
  <w:style w:type="paragraph" w:customStyle="1" w:styleId="Continued">
    <w:name w:val="Continued"/>
    <w:basedOn w:val="BoxContinued"/>
    <w:next w:val="BodyText"/>
    <w:rsid w:val="00EC44C8"/>
  </w:style>
  <w:style w:type="character" w:customStyle="1" w:styleId="DocumentInfo">
    <w:name w:val="Document Info"/>
    <w:basedOn w:val="DefaultParagraphFont"/>
    <w:semiHidden/>
    <w:rsid w:val="00EC44C8"/>
    <w:rPr>
      <w:rFonts w:ascii="Arial" w:hAnsi="Arial"/>
      <w:sz w:val="14"/>
    </w:rPr>
  </w:style>
  <w:style w:type="character" w:customStyle="1" w:styleId="DraftingNote">
    <w:name w:val="Drafting Note"/>
    <w:basedOn w:val="DefaultParagraphFont"/>
    <w:rsid w:val="00EC44C8"/>
    <w:rPr>
      <w:b/>
      <w:color w:val="FF0000"/>
      <w:sz w:val="24"/>
      <w:u w:val="dotted"/>
    </w:rPr>
  </w:style>
  <w:style w:type="paragraph" w:customStyle="1" w:styleId="Figure">
    <w:name w:val="Figure"/>
    <w:basedOn w:val="BodyText"/>
    <w:rsid w:val="00EC44C8"/>
    <w:pPr>
      <w:keepNext/>
      <w:spacing w:before="120" w:after="120" w:line="240" w:lineRule="atLeast"/>
      <w:jc w:val="center"/>
    </w:pPr>
  </w:style>
  <w:style w:type="paragraph" w:customStyle="1" w:styleId="FigureTitle">
    <w:name w:val="Figure Title"/>
    <w:basedOn w:val="Caption"/>
    <w:next w:val="Subtitle"/>
    <w:rsid w:val="00EC44C8"/>
    <w:pPr>
      <w:spacing w:before="120"/>
    </w:pPr>
  </w:style>
  <w:style w:type="paragraph" w:styleId="Subtitle">
    <w:name w:val="Subtitle"/>
    <w:basedOn w:val="Caption"/>
    <w:link w:val="SubtitleChar"/>
    <w:qFormat/>
    <w:rsid w:val="00EC44C8"/>
    <w:pPr>
      <w:spacing w:before="0" w:line="200" w:lineRule="exact"/>
      <w:ind w:firstLine="0"/>
    </w:pPr>
    <w:rPr>
      <w:b w:val="0"/>
      <w:sz w:val="20"/>
    </w:rPr>
  </w:style>
  <w:style w:type="paragraph" w:customStyle="1" w:styleId="Finding">
    <w:name w:val="Finding"/>
    <w:basedOn w:val="BodyText"/>
    <w:rsid w:val="00EC44C8"/>
    <w:pPr>
      <w:keepLines/>
      <w:spacing w:before="120" w:line="280" w:lineRule="atLeast"/>
    </w:pPr>
    <w:rPr>
      <w:rFonts w:ascii="Arial" w:hAnsi="Arial"/>
      <w:sz w:val="22"/>
    </w:rPr>
  </w:style>
  <w:style w:type="paragraph" w:customStyle="1" w:styleId="FindingBullet">
    <w:name w:val="Finding Bullet"/>
    <w:basedOn w:val="Finding"/>
    <w:rsid w:val="00EC44C8"/>
    <w:pPr>
      <w:numPr>
        <w:numId w:val="7"/>
      </w:numPr>
      <w:spacing w:before="80"/>
    </w:pPr>
  </w:style>
  <w:style w:type="paragraph" w:customStyle="1" w:styleId="FindingNoTitle">
    <w:name w:val="Finding NoTitle"/>
    <w:basedOn w:val="Finding"/>
    <w:semiHidden/>
    <w:rsid w:val="00EC44C8"/>
    <w:pPr>
      <w:spacing w:before="240"/>
    </w:pPr>
  </w:style>
  <w:style w:type="paragraph" w:customStyle="1" w:styleId="RecTitle">
    <w:name w:val="Rec Title"/>
    <w:basedOn w:val="BodyText"/>
    <w:next w:val="Rec"/>
    <w:qFormat/>
    <w:rsid w:val="00EC44C8"/>
    <w:pPr>
      <w:keepNext/>
      <w:keepLines/>
      <w:spacing w:line="280" w:lineRule="atLeast"/>
    </w:pPr>
    <w:rPr>
      <w:rFonts w:ascii="Arial" w:hAnsi="Arial"/>
      <w:caps/>
      <w:sz w:val="18"/>
    </w:rPr>
  </w:style>
  <w:style w:type="paragraph" w:customStyle="1" w:styleId="FindingTitle">
    <w:name w:val="Finding Title"/>
    <w:basedOn w:val="RecTitle"/>
    <w:next w:val="Finding"/>
    <w:rsid w:val="00EC44C8"/>
  </w:style>
  <w:style w:type="character" w:styleId="FootnoteReference">
    <w:name w:val="footnote reference"/>
    <w:basedOn w:val="DefaultParagraphFont"/>
    <w:semiHidden/>
    <w:rsid w:val="00EC44C8"/>
    <w:rPr>
      <w:rFonts w:ascii="Times New Roman" w:hAnsi="Times New Roman"/>
      <w:position w:val="6"/>
      <w:sz w:val="20"/>
      <w:vertAlign w:val="baseline"/>
    </w:rPr>
  </w:style>
  <w:style w:type="paragraph" w:styleId="FootnoteText">
    <w:name w:val="footnote text"/>
    <w:basedOn w:val="BodyText"/>
    <w:link w:val="FootnoteTextChar"/>
    <w:rsid w:val="00EC44C8"/>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EC44C8"/>
    <w:rPr>
      <w:i/>
    </w:rPr>
  </w:style>
  <w:style w:type="paragraph" w:customStyle="1" w:styleId="Jurisdictioncommentsbodytext">
    <w:name w:val="Jurisdiction comments body text"/>
    <w:rsid w:val="00EC44C8"/>
    <w:pPr>
      <w:spacing w:after="140"/>
      <w:jc w:val="both"/>
    </w:pPr>
    <w:rPr>
      <w:rFonts w:ascii="Arial" w:hAnsi="Arial"/>
      <w:sz w:val="24"/>
      <w:lang w:eastAsia="en-US"/>
    </w:rPr>
  </w:style>
  <w:style w:type="paragraph" w:customStyle="1" w:styleId="Jurisdictioncommentsheading">
    <w:name w:val="Jurisdiction comments heading"/>
    <w:rsid w:val="00EC44C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C44C8"/>
    <w:pPr>
      <w:numPr>
        <w:numId w:val="10"/>
      </w:numPr>
      <w:spacing w:after="140"/>
      <w:jc w:val="both"/>
    </w:pPr>
    <w:rPr>
      <w:rFonts w:ascii="Arial" w:hAnsi="Arial"/>
      <w:sz w:val="24"/>
      <w:lang w:eastAsia="en-US"/>
    </w:rPr>
  </w:style>
  <w:style w:type="paragraph" w:styleId="ListBullet">
    <w:name w:val="List Bullet"/>
    <w:basedOn w:val="BodyText"/>
    <w:rsid w:val="00EC44C8"/>
    <w:pPr>
      <w:numPr>
        <w:numId w:val="8"/>
      </w:numPr>
      <w:spacing w:before="120"/>
    </w:pPr>
  </w:style>
  <w:style w:type="paragraph" w:styleId="ListBullet2">
    <w:name w:val="List Bullet 2"/>
    <w:basedOn w:val="BodyText"/>
    <w:rsid w:val="00EC44C8"/>
    <w:pPr>
      <w:numPr>
        <w:numId w:val="17"/>
      </w:numPr>
      <w:spacing w:before="120"/>
    </w:pPr>
  </w:style>
  <w:style w:type="paragraph" w:styleId="ListBullet3">
    <w:name w:val="List Bullet 3"/>
    <w:basedOn w:val="BodyText"/>
    <w:rsid w:val="00EC44C8"/>
    <w:pPr>
      <w:numPr>
        <w:numId w:val="3"/>
      </w:numPr>
      <w:spacing w:before="120"/>
    </w:pPr>
  </w:style>
  <w:style w:type="paragraph" w:styleId="ListNumber">
    <w:name w:val="List Number"/>
    <w:basedOn w:val="BodyText"/>
    <w:rsid w:val="00EC44C8"/>
    <w:pPr>
      <w:numPr>
        <w:numId w:val="13"/>
      </w:numPr>
      <w:spacing w:before="120"/>
    </w:pPr>
  </w:style>
  <w:style w:type="paragraph" w:styleId="ListNumber2">
    <w:name w:val="List Number 2"/>
    <w:basedOn w:val="ListNumber"/>
    <w:rsid w:val="00EC44C8"/>
    <w:pPr>
      <w:numPr>
        <w:ilvl w:val="1"/>
      </w:numPr>
    </w:pPr>
  </w:style>
  <w:style w:type="paragraph" w:styleId="ListNumber3">
    <w:name w:val="List Number 3"/>
    <w:basedOn w:val="ListNumber2"/>
    <w:rsid w:val="00EC44C8"/>
    <w:pPr>
      <w:numPr>
        <w:ilvl w:val="2"/>
      </w:numPr>
    </w:pPr>
  </w:style>
  <w:style w:type="character" w:customStyle="1" w:styleId="NoteLabel">
    <w:name w:val="Note Label"/>
    <w:basedOn w:val="DefaultParagraphFont"/>
    <w:rsid w:val="00EC44C8"/>
    <w:rPr>
      <w:rFonts w:ascii="Arial" w:hAnsi="Arial"/>
      <w:b/>
      <w:position w:val="6"/>
      <w:sz w:val="18"/>
    </w:rPr>
  </w:style>
  <w:style w:type="paragraph" w:customStyle="1" w:styleId="PartDivider">
    <w:name w:val="Part Divider"/>
    <w:basedOn w:val="BodyText"/>
    <w:next w:val="BodyText"/>
    <w:semiHidden/>
    <w:rsid w:val="00EC44C8"/>
    <w:pPr>
      <w:spacing w:before="0" w:line="40" w:lineRule="exact"/>
      <w:jc w:val="right"/>
    </w:pPr>
    <w:rPr>
      <w:smallCaps/>
      <w:sz w:val="16"/>
    </w:rPr>
  </w:style>
  <w:style w:type="paragraph" w:customStyle="1" w:styleId="PartNumber">
    <w:name w:val="Part Number"/>
    <w:basedOn w:val="BodyText"/>
    <w:next w:val="BodyText"/>
    <w:semiHidden/>
    <w:rsid w:val="00EC44C8"/>
    <w:pPr>
      <w:spacing w:before="4000" w:line="320" w:lineRule="exact"/>
      <w:ind w:left="6634"/>
      <w:jc w:val="right"/>
    </w:pPr>
    <w:rPr>
      <w:smallCaps/>
      <w:spacing w:val="60"/>
      <w:sz w:val="32"/>
    </w:rPr>
  </w:style>
  <w:style w:type="paragraph" w:customStyle="1" w:styleId="PartTitle">
    <w:name w:val="Part Title"/>
    <w:basedOn w:val="BodyText"/>
    <w:semiHidden/>
    <w:rsid w:val="00EC44C8"/>
    <w:pPr>
      <w:spacing w:before="160" w:after="1360" w:line="520" w:lineRule="exact"/>
      <w:ind w:right="2381"/>
      <w:jc w:val="right"/>
    </w:pPr>
    <w:rPr>
      <w:smallCaps/>
      <w:sz w:val="52"/>
    </w:rPr>
  </w:style>
  <w:style w:type="paragraph" w:styleId="Quote">
    <w:name w:val="Quote"/>
    <w:basedOn w:val="BodyText"/>
    <w:next w:val="BodyText"/>
    <w:link w:val="QuoteChar"/>
    <w:qFormat/>
    <w:rsid w:val="00EC44C8"/>
    <w:pPr>
      <w:spacing w:before="120" w:line="280" w:lineRule="exact"/>
      <w:ind w:left="340"/>
    </w:pPr>
    <w:rPr>
      <w:sz w:val="22"/>
    </w:rPr>
  </w:style>
  <w:style w:type="paragraph" w:customStyle="1" w:styleId="QuoteBullet">
    <w:name w:val="Quote Bullet"/>
    <w:basedOn w:val="Quote"/>
    <w:rsid w:val="00EC44C8"/>
    <w:pPr>
      <w:numPr>
        <w:numId w:val="14"/>
      </w:numPr>
    </w:pPr>
  </w:style>
  <w:style w:type="paragraph" w:customStyle="1" w:styleId="Rec">
    <w:name w:val="Rec"/>
    <w:basedOn w:val="BodyText"/>
    <w:qFormat/>
    <w:rsid w:val="00EC44C8"/>
    <w:pPr>
      <w:keepLines/>
      <w:spacing w:before="120" w:line="280" w:lineRule="atLeast"/>
    </w:pPr>
    <w:rPr>
      <w:rFonts w:ascii="Arial" w:hAnsi="Arial"/>
      <w:sz w:val="22"/>
    </w:rPr>
  </w:style>
  <w:style w:type="paragraph" w:customStyle="1" w:styleId="RecBullet">
    <w:name w:val="Rec Bullet"/>
    <w:basedOn w:val="Rec"/>
    <w:rsid w:val="00EC44C8"/>
    <w:pPr>
      <w:numPr>
        <w:numId w:val="15"/>
      </w:numPr>
      <w:spacing w:before="80"/>
    </w:pPr>
  </w:style>
  <w:style w:type="paragraph" w:customStyle="1" w:styleId="RecB">
    <w:name w:val="RecB"/>
    <w:basedOn w:val="Normal"/>
    <w:semiHidden/>
    <w:rsid w:val="00EC44C8"/>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C44C8"/>
    <w:pPr>
      <w:numPr>
        <w:numId w:val="16"/>
      </w:numPr>
      <w:spacing w:before="80"/>
    </w:pPr>
  </w:style>
  <w:style w:type="paragraph" w:customStyle="1" w:styleId="RecBNoTitle">
    <w:name w:val="RecB NoTitle"/>
    <w:basedOn w:val="RecB"/>
    <w:semiHidden/>
    <w:rsid w:val="00EC44C8"/>
    <w:pPr>
      <w:spacing w:before="240"/>
    </w:pPr>
  </w:style>
  <w:style w:type="paragraph" w:customStyle="1" w:styleId="Reference">
    <w:name w:val="Reference"/>
    <w:basedOn w:val="BodyText"/>
    <w:rsid w:val="00EC44C8"/>
    <w:pPr>
      <w:spacing w:before="120"/>
      <w:ind w:left="340" w:hanging="340"/>
    </w:pPr>
  </w:style>
  <w:style w:type="paragraph" w:customStyle="1" w:styleId="SequenceInfo">
    <w:name w:val="Sequence Info"/>
    <w:basedOn w:val="BodyText"/>
    <w:semiHidden/>
    <w:rsid w:val="00EC44C8"/>
    <w:rPr>
      <w:vanish/>
      <w:sz w:val="16"/>
    </w:rPr>
  </w:style>
  <w:style w:type="paragraph" w:customStyle="1" w:styleId="SideNote">
    <w:name w:val="Side Note"/>
    <w:basedOn w:val="BodyText"/>
    <w:next w:val="BodyText"/>
    <w:semiHidden/>
    <w:rsid w:val="00EC44C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C44C8"/>
    <w:pPr>
      <w:framePr w:wrap="around"/>
      <w:numPr>
        <w:numId w:val="18"/>
      </w:numPr>
      <w:tabs>
        <w:tab w:val="left" w:pos="227"/>
      </w:tabs>
    </w:pPr>
  </w:style>
  <w:style w:type="paragraph" w:customStyle="1" w:styleId="SideNoteGraphic">
    <w:name w:val="Side Note Graphic"/>
    <w:basedOn w:val="SideNote"/>
    <w:next w:val="BodyText"/>
    <w:semiHidden/>
    <w:rsid w:val="00EC44C8"/>
    <w:pPr>
      <w:framePr w:wrap="around"/>
    </w:pPr>
  </w:style>
  <w:style w:type="paragraph" w:customStyle="1" w:styleId="TableBodyText">
    <w:name w:val="Table Body Text"/>
    <w:basedOn w:val="BodyText"/>
    <w:link w:val="TableBodyTextChar"/>
    <w:rsid w:val="00EC44C8"/>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EC44C8"/>
    <w:pPr>
      <w:numPr>
        <w:numId w:val="19"/>
      </w:numPr>
      <w:jc w:val="left"/>
    </w:pPr>
  </w:style>
  <w:style w:type="paragraph" w:customStyle="1" w:styleId="TableColumnHeading">
    <w:name w:val="Table Column Heading"/>
    <w:basedOn w:val="TableBodyText"/>
    <w:rsid w:val="00EC44C8"/>
    <w:pPr>
      <w:spacing w:before="80" w:after="80"/>
    </w:pPr>
    <w:rPr>
      <w:i/>
    </w:rPr>
  </w:style>
  <w:style w:type="paragraph" w:styleId="TOC2">
    <w:name w:val="toc 2"/>
    <w:basedOn w:val="TOC1"/>
    <w:rsid w:val="00EC44C8"/>
    <w:pPr>
      <w:ind w:left="1134" w:hanging="624"/>
    </w:pPr>
    <w:rPr>
      <w:b w:val="0"/>
    </w:rPr>
  </w:style>
  <w:style w:type="paragraph" w:styleId="TOC3">
    <w:name w:val="toc 3"/>
    <w:basedOn w:val="TOC2"/>
    <w:rsid w:val="00EC44C8"/>
    <w:pPr>
      <w:spacing w:before="60"/>
      <w:ind w:left="1190" w:hanging="680"/>
    </w:pPr>
  </w:style>
  <w:style w:type="paragraph" w:styleId="TableofFigures">
    <w:name w:val="table of figures"/>
    <w:basedOn w:val="TOC3"/>
    <w:next w:val="BodyText"/>
    <w:semiHidden/>
    <w:rsid w:val="00EC44C8"/>
    <w:pPr>
      <w:ind w:left="737" w:hanging="737"/>
    </w:pPr>
  </w:style>
  <w:style w:type="paragraph" w:customStyle="1" w:styleId="TableTitle">
    <w:name w:val="Table Title"/>
    <w:basedOn w:val="Caption"/>
    <w:next w:val="Subtitle"/>
    <w:qFormat/>
    <w:rsid w:val="00EC44C8"/>
    <w:pPr>
      <w:spacing w:before="120"/>
    </w:pPr>
  </w:style>
  <w:style w:type="paragraph" w:customStyle="1" w:styleId="TableUnitsRow">
    <w:name w:val="Table Units Row"/>
    <w:basedOn w:val="TableBodyText"/>
    <w:rsid w:val="00EC44C8"/>
    <w:pPr>
      <w:spacing w:before="40"/>
    </w:pPr>
  </w:style>
  <w:style w:type="paragraph" w:styleId="TOC1">
    <w:name w:val="toc 1"/>
    <w:basedOn w:val="Normal"/>
    <w:next w:val="TOC2"/>
    <w:link w:val="TOC1Char"/>
    <w:rsid w:val="00EC44C8"/>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EC44C8"/>
    <w:pPr>
      <w:ind w:left="1191" w:firstLine="0"/>
    </w:pPr>
  </w:style>
  <w:style w:type="paragraph" w:customStyle="1" w:styleId="RecBBullet2">
    <w:name w:val="RecB Bullet 2"/>
    <w:basedOn w:val="ListBullet2"/>
    <w:semiHidden/>
    <w:rsid w:val="00EC44C8"/>
    <w:pPr>
      <w:pBdr>
        <w:left w:val="single" w:sz="24" w:space="29" w:color="C0C0C0"/>
      </w:pBdr>
    </w:pPr>
    <w:rPr>
      <w:b/>
      <w:i/>
    </w:rPr>
  </w:style>
  <w:style w:type="paragraph" w:styleId="BalloonText">
    <w:name w:val="Balloon Text"/>
    <w:basedOn w:val="Normal"/>
    <w:link w:val="BalloonTextChar"/>
    <w:rsid w:val="00EC44C8"/>
    <w:rPr>
      <w:rFonts w:ascii="Tahoma" w:hAnsi="Tahoma" w:cs="Tahoma"/>
      <w:sz w:val="16"/>
      <w:szCs w:val="16"/>
    </w:rPr>
  </w:style>
  <w:style w:type="character" w:customStyle="1" w:styleId="BalloonTextChar">
    <w:name w:val="Balloon Text Char"/>
    <w:basedOn w:val="DefaultParagraphFont"/>
    <w:link w:val="BalloonText"/>
    <w:rsid w:val="00EC44C8"/>
    <w:rPr>
      <w:rFonts w:ascii="Tahoma" w:hAnsi="Tahoma" w:cs="Tahoma"/>
      <w:sz w:val="16"/>
      <w:szCs w:val="16"/>
    </w:rPr>
  </w:style>
  <w:style w:type="character" w:customStyle="1" w:styleId="SubtitleChar">
    <w:name w:val="Subtitle Char"/>
    <w:basedOn w:val="DefaultParagraphFont"/>
    <w:link w:val="Subtitle"/>
    <w:rsid w:val="00EC44C8"/>
    <w:rPr>
      <w:rFonts w:ascii="Arial" w:hAnsi="Arial"/>
      <w:szCs w:val="24"/>
    </w:rPr>
  </w:style>
  <w:style w:type="paragraph" w:customStyle="1" w:styleId="BoxListBullet3">
    <w:name w:val="Box List Bullet 3"/>
    <w:basedOn w:val="ListBullet3"/>
    <w:rsid w:val="00EC44C8"/>
    <w:pPr>
      <w:numPr>
        <w:numId w:val="4"/>
      </w:numPr>
      <w:tabs>
        <w:tab w:val="left" w:pos="907"/>
      </w:tabs>
      <w:spacing w:before="60" w:line="260" w:lineRule="atLeast"/>
    </w:pPr>
    <w:rPr>
      <w:rFonts w:ascii="Arial" w:hAnsi="Arial"/>
      <w:sz w:val="20"/>
    </w:rPr>
  </w:style>
  <w:style w:type="character" w:styleId="Emphasis">
    <w:name w:val="Emphasis"/>
    <w:basedOn w:val="DefaultParagraphFont"/>
    <w:rsid w:val="00EC44C8"/>
    <w:rPr>
      <w:i/>
      <w:iCs/>
    </w:rPr>
  </w:style>
  <w:style w:type="paragraph" w:customStyle="1" w:styleId="BoxQuoteBullet">
    <w:name w:val="Box Quote Bullet"/>
    <w:basedOn w:val="BoxQuote"/>
    <w:next w:val="Box"/>
    <w:rsid w:val="00EC44C8"/>
    <w:pPr>
      <w:numPr>
        <w:numId w:val="6"/>
      </w:numPr>
    </w:pPr>
  </w:style>
  <w:style w:type="paragraph" w:customStyle="1" w:styleId="InformationRequestBullet">
    <w:name w:val="Information Request Bullet"/>
    <w:basedOn w:val="ListBullet"/>
    <w:next w:val="BodyText"/>
    <w:rsid w:val="00EC44C8"/>
    <w:pPr>
      <w:numPr>
        <w:numId w:val="9"/>
      </w:numPr>
      <w:spacing w:before="80" w:line="280" w:lineRule="atLeast"/>
    </w:pPr>
    <w:rPr>
      <w:rFonts w:ascii="Arial" w:hAnsi="Arial"/>
      <w:i/>
      <w:sz w:val="22"/>
    </w:rPr>
  </w:style>
  <w:style w:type="paragraph" w:customStyle="1" w:styleId="BoxSpaceBelow">
    <w:name w:val="Box Space Below"/>
    <w:basedOn w:val="Box"/>
    <w:rsid w:val="00EC44C8"/>
    <w:pPr>
      <w:keepNext w:val="0"/>
      <w:spacing w:before="60" w:after="60" w:line="80" w:lineRule="exact"/>
    </w:pPr>
    <w:rPr>
      <w:sz w:val="14"/>
    </w:rPr>
  </w:style>
  <w:style w:type="paragraph" w:customStyle="1" w:styleId="KeyPointsListBullet">
    <w:name w:val="Key Points List Bullet"/>
    <w:basedOn w:val="Normal"/>
    <w:qFormat/>
    <w:rsid w:val="00EC44C8"/>
    <w:pPr>
      <w:keepNext/>
      <w:numPr>
        <w:numId w:val="11"/>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C44C8"/>
    <w:pPr>
      <w:numPr>
        <w:numId w:val="12"/>
      </w:numPr>
    </w:pPr>
  </w:style>
  <w:style w:type="paragraph" w:customStyle="1" w:styleId="InformationRequestTitle">
    <w:name w:val="Information Request Title"/>
    <w:basedOn w:val="FindingTitle"/>
    <w:next w:val="InformationRequest"/>
    <w:rsid w:val="00EC44C8"/>
    <w:rPr>
      <w:i/>
    </w:rPr>
  </w:style>
  <w:style w:type="paragraph" w:customStyle="1" w:styleId="Space">
    <w:name w:val="Space"/>
    <w:basedOn w:val="Normal"/>
    <w:rsid w:val="00EC44C8"/>
    <w:pPr>
      <w:keepNext/>
      <w:spacing w:line="120" w:lineRule="exact"/>
      <w:jc w:val="both"/>
    </w:pPr>
    <w:rPr>
      <w:rFonts w:ascii="Arial" w:hAnsi="Arial"/>
      <w:sz w:val="20"/>
      <w:szCs w:val="20"/>
    </w:rPr>
  </w:style>
  <w:style w:type="paragraph" w:customStyle="1" w:styleId="Heading1nochapterno">
    <w:name w:val="Heading 1 (no chapter no.)"/>
    <w:basedOn w:val="Heading1"/>
    <w:rsid w:val="00EC44C8"/>
    <w:pPr>
      <w:spacing w:before="0"/>
      <w:ind w:left="0" w:firstLine="0"/>
    </w:pPr>
  </w:style>
  <w:style w:type="paragraph" w:customStyle="1" w:styleId="Heading2nosectionno">
    <w:name w:val="Heading 2 (no section no.)"/>
    <w:basedOn w:val="Heading2"/>
    <w:rsid w:val="00EC44C8"/>
    <w:pPr>
      <w:ind w:left="0" w:firstLine="0"/>
    </w:pPr>
  </w:style>
  <w:style w:type="character" w:customStyle="1" w:styleId="Heading5Char">
    <w:name w:val="Heading 5 Char"/>
    <w:basedOn w:val="DefaultParagraphFont"/>
    <w:link w:val="Heading5"/>
    <w:rsid w:val="00EC44C8"/>
    <w:rPr>
      <w:rFonts w:ascii="Arial" w:hAnsi="Arial"/>
      <w:i/>
      <w:sz w:val="22"/>
    </w:rPr>
  </w:style>
  <w:style w:type="paragraph" w:customStyle="1" w:styleId="Figurespace">
    <w:name w:val="Figure space"/>
    <w:basedOn w:val="Box"/>
    <w:rsid w:val="00EC44C8"/>
    <w:pPr>
      <w:spacing w:before="0" w:line="120" w:lineRule="exact"/>
    </w:pPr>
  </w:style>
  <w:style w:type="paragraph" w:customStyle="1" w:styleId="FooterDraftReport">
    <w:name w:val="FooterDraftReport"/>
    <w:basedOn w:val="Footer"/>
    <w:link w:val="FooterDraftReportChar"/>
    <w:rsid w:val="00EC44C8"/>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C44C8"/>
    <w:rPr>
      <w:sz w:val="24"/>
    </w:rPr>
  </w:style>
  <w:style w:type="character" w:customStyle="1" w:styleId="FooterChar">
    <w:name w:val="Footer Char"/>
    <w:basedOn w:val="BodyTextChar"/>
    <w:link w:val="Footer"/>
    <w:rsid w:val="00EC44C8"/>
    <w:rPr>
      <w:rFonts w:ascii="Arial" w:hAnsi="Arial"/>
      <w:caps/>
      <w:spacing w:val="-4"/>
      <w:sz w:val="16"/>
    </w:rPr>
  </w:style>
  <w:style w:type="character" w:customStyle="1" w:styleId="FooterDraftReportChar">
    <w:name w:val="FooterDraftReport Char"/>
    <w:basedOn w:val="FooterChar"/>
    <w:link w:val="FooterDraftReport"/>
    <w:rsid w:val="00EC44C8"/>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EC4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EC44C8"/>
    <w:rPr>
      <w:rFonts w:ascii="Arial" w:hAnsi="Arial"/>
      <w:b/>
      <w:sz w:val="26"/>
      <w:szCs w:val="26"/>
      <w:lang w:eastAsia="en-US"/>
    </w:rPr>
  </w:style>
  <w:style w:type="character" w:customStyle="1" w:styleId="Continuedintitle">
    <w:name w:val="Continued (in title)"/>
    <w:basedOn w:val="DefaultParagraphFont"/>
    <w:rsid w:val="00EC44C8"/>
    <w:rPr>
      <w:rFonts w:ascii="Arial" w:hAnsi="Arial"/>
      <w:b/>
      <w:sz w:val="18"/>
    </w:rPr>
  </w:style>
  <w:style w:type="character" w:customStyle="1" w:styleId="Heading3Char">
    <w:name w:val="Heading 3 Char"/>
    <w:basedOn w:val="DefaultParagraphFont"/>
    <w:link w:val="Heading3"/>
    <w:rsid w:val="00EC44C8"/>
    <w:rPr>
      <w:rFonts w:ascii="Arial" w:hAnsi="Arial"/>
      <w:b/>
      <w:sz w:val="26"/>
    </w:rPr>
  </w:style>
  <w:style w:type="character" w:customStyle="1" w:styleId="Heading4Char">
    <w:name w:val="Heading 4 Char"/>
    <w:basedOn w:val="DefaultParagraphFont"/>
    <w:link w:val="Heading4"/>
    <w:rsid w:val="00EC44C8"/>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EC44C8"/>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character" w:customStyle="1" w:styleId="HeaderChar">
    <w:name w:val="Header Char"/>
    <w:basedOn w:val="DefaultParagraphFont"/>
    <w:link w:val="Header"/>
    <w:rsid w:val="00EC44C8"/>
    <w:rPr>
      <w:rFonts w:ascii="Arial" w:hAnsi="Arial"/>
      <w:caps/>
      <w:sz w:val="24"/>
    </w:rPr>
  </w:style>
  <w:style w:type="paragraph" w:customStyle="1" w:styleId="Heading1NotTOC">
    <w:name w:val="Heading 1 Not TOC"/>
    <w:basedOn w:val="Heading1"/>
    <w:next w:val="BodyText"/>
    <w:rsid w:val="00B9476D"/>
    <w:rPr>
      <w:kern w:val="28"/>
      <w:szCs w:val="26"/>
      <w:lang w:eastAsia="en-US"/>
    </w:rPr>
  </w:style>
  <w:style w:type="character" w:customStyle="1" w:styleId="BoxChar">
    <w:name w:val="Box Char"/>
    <w:link w:val="Box"/>
    <w:rsid w:val="00C277BC"/>
    <w:rPr>
      <w:rFonts w:ascii="Arial" w:hAnsi="Arial"/>
    </w:rPr>
  </w:style>
  <w:style w:type="character" w:customStyle="1" w:styleId="BoxListBulletChar">
    <w:name w:val="Box List Bullet Char"/>
    <w:link w:val="BoxListBullet"/>
    <w:rsid w:val="00C277BC"/>
    <w:rPr>
      <w:rFonts w:ascii="Arial" w:hAnsi="Arial"/>
    </w:rPr>
  </w:style>
  <w:style w:type="character" w:customStyle="1" w:styleId="Heading1Char">
    <w:name w:val="Heading 1 Char"/>
    <w:basedOn w:val="DefaultParagraphFont"/>
    <w:link w:val="Heading1"/>
    <w:rsid w:val="00EC44C8"/>
    <w:rPr>
      <w:sz w:val="52"/>
    </w:rPr>
  </w:style>
  <w:style w:type="character" w:customStyle="1" w:styleId="NoteChar">
    <w:name w:val="Note Char"/>
    <w:basedOn w:val="DefaultParagraphFont"/>
    <w:link w:val="Note"/>
    <w:locked/>
    <w:rsid w:val="00466311"/>
    <w:rPr>
      <w:rFonts w:ascii="Arial" w:hAnsi="Arial"/>
      <w:sz w:val="18"/>
    </w:rPr>
  </w:style>
  <w:style w:type="table" w:customStyle="1" w:styleId="TableGrid1">
    <w:name w:val="Table Grid1"/>
    <w:basedOn w:val="TableNormal"/>
    <w:next w:val="TableGrid"/>
    <w:rsid w:val="0046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6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D307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C44C8"/>
    <w:rPr>
      <w:szCs w:val="24"/>
    </w:rPr>
  </w:style>
  <w:style w:type="character" w:customStyle="1" w:styleId="CommentSubjectChar">
    <w:name w:val="Comment Subject Char"/>
    <w:basedOn w:val="CommentTextChar"/>
    <w:link w:val="CommentSubject"/>
    <w:semiHidden/>
    <w:rsid w:val="009D3077"/>
    <w:rPr>
      <w:b/>
      <w:bCs/>
      <w:szCs w:val="24"/>
    </w:rPr>
  </w:style>
  <w:style w:type="character" w:customStyle="1" w:styleId="FootnoteTextChar">
    <w:name w:val="Footnote Text Char"/>
    <w:basedOn w:val="DefaultParagraphFont"/>
    <w:link w:val="FootnoteText"/>
    <w:rsid w:val="00EC44C8"/>
  </w:style>
  <w:style w:type="character" w:customStyle="1" w:styleId="Heading6Char">
    <w:name w:val="Heading 6 Char"/>
    <w:basedOn w:val="DefaultParagraphFont"/>
    <w:link w:val="Heading6"/>
    <w:semiHidden/>
    <w:rsid w:val="00EC44C8"/>
    <w:rPr>
      <w:i/>
      <w:sz w:val="22"/>
    </w:rPr>
  </w:style>
  <w:style w:type="character" w:customStyle="1" w:styleId="Heading7Char">
    <w:name w:val="Heading 7 Char"/>
    <w:basedOn w:val="DefaultParagraphFont"/>
    <w:link w:val="Heading7"/>
    <w:semiHidden/>
    <w:rsid w:val="00EC44C8"/>
    <w:rPr>
      <w:rFonts w:ascii="Arial" w:hAnsi="Arial"/>
    </w:rPr>
  </w:style>
  <w:style w:type="character" w:customStyle="1" w:styleId="Heading8Char">
    <w:name w:val="Heading 8 Char"/>
    <w:basedOn w:val="DefaultParagraphFont"/>
    <w:link w:val="Heading8"/>
    <w:semiHidden/>
    <w:rsid w:val="00EC44C8"/>
    <w:rPr>
      <w:rFonts w:ascii="Arial" w:hAnsi="Arial"/>
      <w:i/>
    </w:rPr>
  </w:style>
  <w:style w:type="character" w:customStyle="1" w:styleId="Heading9Char">
    <w:name w:val="Heading 9 Char"/>
    <w:basedOn w:val="DefaultParagraphFont"/>
    <w:link w:val="Heading9"/>
    <w:semiHidden/>
    <w:rsid w:val="00EC44C8"/>
    <w:rPr>
      <w:rFonts w:ascii="Arial" w:hAnsi="Arial"/>
      <w:b/>
      <w:i/>
      <w:sz w:val="18"/>
    </w:rPr>
  </w:style>
  <w:style w:type="character" w:customStyle="1" w:styleId="QuoteChar">
    <w:name w:val="Quote Char"/>
    <w:basedOn w:val="DefaultParagraphFont"/>
    <w:link w:val="Quote"/>
    <w:rsid w:val="00EC44C8"/>
    <w:rPr>
      <w:sz w:val="22"/>
    </w:rPr>
  </w:style>
  <w:style w:type="character" w:customStyle="1" w:styleId="BoxListBullet2Char">
    <w:name w:val="Box List Bullet 2 Char"/>
    <w:basedOn w:val="BoxChar"/>
    <w:link w:val="BoxListBullet2"/>
    <w:rsid w:val="00B9720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20943">
      <w:bodyDiv w:val="1"/>
      <w:marLeft w:val="0"/>
      <w:marRight w:val="0"/>
      <w:marTop w:val="0"/>
      <w:marBottom w:val="0"/>
      <w:divBdr>
        <w:top w:val="none" w:sz="0" w:space="0" w:color="auto"/>
        <w:left w:val="none" w:sz="0" w:space="0" w:color="auto"/>
        <w:bottom w:val="none" w:sz="0" w:space="0" w:color="auto"/>
        <w:right w:val="none" w:sz="0" w:space="0" w:color="auto"/>
      </w:divBdr>
    </w:div>
    <w:div w:id="1155728355">
      <w:bodyDiv w:val="1"/>
      <w:marLeft w:val="0"/>
      <w:marRight w:val="0"/>
      <w:marTop w:val="0"/>
      <w:marBottom w:val="0"/>
      <w:divBdr>
        <w:top w:val="none" w:sz="0" w:space="0" w:color="auto"/>
        <w:left w:val="none" w:sz="0" w:space="0" w:color="auto"/>
        <w:bottom w:val="none" w:sz="0" w:space="0" w:color="auto"/>
        <w:right w:val="none" w:sz="0" w:space="0" w:color="auto"/>
      </w:divBdr>
    </w:div>
    <w:div w:id="131290184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153F88EA8B3D4F80E9753434C5EEC6" ma:contentTypeVersion="17" ma:contentTypeDescription="Create a new document." ma:contentTypeScope="" ma:versionID="650c628666c6fe78a1bd5987cee54b64">
  <xsd:schema xmlns:xsd="http://www.w3.org/2001/XMLSchema" xmlns:xs="http://www.w3.org/2001/XMLSchema" xmlns:p="http://schemas.microsoft.com/office/2006/metadata/properties" xmlns:ns2="b6b04b89-cd0c-413f-813b-22de46186900" xmlns:ns3="ec209c46-b8ed-41b5-8e9e-10b5253a02de" targetNamespace="http://schemas.microsoft.com/office/2006/metadata/properties" ma:root="true" ma:fieldsID="6c3dea73eb25dbb300e3d07a34592d97" ns2:_="" ns3:_="">
    <xsd:import namespace="b6b04b89-cd0c-413f-813b-22de46186900"/>
    <xsd:import namespace="ec209c46-b8ed-41b5-8e9e-10b5253a02de"/>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04b89-cd0c-413f-813b-22de46186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09c46-b8ed-41b5-8e9e-10b5253a02de"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0ffa349-c629-47e8-b5a5-1cbf0b6c18e6}" ma:internalName="TaxCatchAll" ma:showField="CatchAllData" ma:web="ec209c46-b8ed-41b5-8e9e-10b5253a02de">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c209c46-b8ed-41b5-8e9e-10b5253a02de">
      <Value>1</Value>
    </TaxCatchAll>
    <i0f84bba906045b4af568ee102a52dcb xmlns="ec209c46-b8ed-41b5-8e9e-10b5253a02d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b6b04b89-cd0c-413f-813b-22de461869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CFD069-4612-40AC-A51D-7DEE2C5E4DDB}">
  <ds:schemaRefs>
    <ds:schemaRef ds:uri="http://schemas.microsoft.com/sharepoint/v3/contenttype/forms"/>
  </ds:schemaRefs>
</ds:datastoreItem>
</file>

<file path=customXml/itemProps2.xml><?xml version="1.0" encoding="utf-8"?>
<ds:datastoreItem xmlns:ds="http://schemas.openxmlformats.org/officeDocument/2006/customXml" ds:itemID="{C886FEF6-7AB0-4746-8CE5-84F9D08FEAA6}"/>
</file>

<file path=customXml/itemProps3.xml><?xml version="1.0" encoding="utf-8"?>
<ds:datastoreItem xmlns:ds="http://schemas.openxmlformats.org/officeDocument/2006/customXml" ds:itemID="{2FAC94F4-C7BF-486D-9C6E-C8A46B20C1D3}">
  <ds:schemaRefs>
    <ds:schemaRef ds:uri="http://schemas.openxmlformats.org/officeDocument/2006/bibliography"/>
  </ds:schemaRefs>
</ds:datastoreItem>
</file>

<file path=customXml/itemProps4.xml><?xml version="1.0" encoding="utf-8"?>
<ds:datastoreItem xmlns:ds="http://schemas.openxmlformats.org/officeDocument/2006/customXml" ds:itemID="{7B8D0DFE-D5E0-4A78-9DD5-8A73AF4BED0A}">
  <ds:schemaRefs>
    <ds:schemaRef ds:uri="http://schemas.microsoft.com/office/2006/metadata/properties"/>
    <ds:schemaRef ds:uri="http://schemas.microsoft.com/office/infopath/2007/PartnerControls"/>
    <ds:schemaRef ds:uri="ec209c46-b8ed-41b5-8e9e-10b5253a02d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5605</Words>
  <Characters>31950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Section 6 Police services interpretative material - Report on Government Services 202106</vt:lpstr>
    </vt:vector>
  </TitlesOfParts>
  <Manager/>
  <Company>Productivity Commission</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 Police services interpretative material - Report on Government Services 202206</dc:title>
  <dc:subject/>
  <dc:creator>Steering Committee for the Review of Government Service Provision</dc:creator>
  <cp:keywords/>
  <dc:description/>
  <cp:lastModifiedBy>Ndungu, Pauline</cp:lastModifiedBy>
  <cp:revision>11</cp:revision>
  <cp:lastPrinted>2022-05-11T04:18:00Z</cp:lastPrinted>
  <dcterms:created xsi:type="dcterms:W3CDTF">2022-05-04T04:56:00Z</dcterms:created>
  <dcterms:modified xsi:type="dcterms:W3CDTF">2022-05-11T04:18:00Z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0x010100BD153F88EA8B3D4F80E9753434C5EEC6</vt:lpwstr>
  </property>
  <property fmtid="{D5CDD505-2E9C-101B-9397-08002B2CF9AE}" pid="3" name="RevIMBCS">
    <vt:lpwstr>1;#Unclassified|3955eeb1-2d18-4582-aeb2-00144ec3aaf5</vt:lpwstr>
  </property>
</Properties>
</file>