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AC98" w14:textId="30B0AB15" w:rsidR="00A33DFF" w:rsidRPr="00065C43" w:rsidRDefault="00472593" w:rsidP="00245428">
      <w:pPr>
        <w:pStyle w:val="Heading1"/>
        <w:ind w:left="720" w:hanging="720"/>
      </w:pPr>
      <w:bookmarkStart w:id="0" w:name="_Toc27564449"/>
      <w:r w:rsidRPr="00E9696D">
        <w:t>18</w:t>
      </w:r>
      <w:r w:rsidR="000C7D74" w:rsidRPr="00E9696D">
        <w:tab/>
      </w:r>
      <w:bookmarkStart w:id="1" w:name="ChapterTitle"/>
      <w:r w:rsidR="000C7D74" w:rsidRPr="00E9696D">
        <w:t>Housing interpretative material</w:t>
      </w:r>
      <w:bookmarkEnd w:id="0"/>
      <w:bookmarkEnd w:id="1"/>
    </w:p>
    <w:bookmarkStart w:id="2" w:name="begin" w:displacedByCustomXml="next"/>
    <w:bookmarkEnd w:id="2" w:displacedByCustomXml="next"/>
    <w:sdt>
      <w:sdtPr>
        <w:rPr>
          <w:kern w:val="28"/>
          <w:sz w:val="52"/>
        </w:rPr>
        <w:id w:val="2021663923"/>
        <w:docPartObj>
          <w:docPartGallery w:val="Table of Contents"/>
          <w:docPartUnique/>
        </w:docPartObj>
      </w:sdtPr>
      <w:sdtEndPr>
        <w:rPr>
          <w:kern w:val="0"/>
          <w:sz w:val="26"/>
        </w:rPr>
      </w:sdtEndPr>
      <w:sdtContent>
        <w:p w14:paraId="1517BC51" w14:textId="2FAA2644" w:rsidR="00E9696D" w:rsidRDefault="00E9696D">
          <w:pPr>
            <w:pStyle w:val="TOC1"/>
            <w:rPr>
              <w:rFonts w:asciiTheme="minorHAnsi" w:eastAsiaTheme="minorEastAsia" w:hAnsiTheme="minorHAnsi" w:cstheme="minorBidi"/>
              <w:b w:val="0"/>
              <w:noProof/>
              <w:sz w:val="22"/>
              <w:szCs w:val="22"/>
              <w:lang w:eastAsia="en-AU"/>
            </w:rPr>
          </w:pPr>
          <w:r w:rsidRPr="00010BD5">
            <w:rPr>
              <w:noProof/>
            </w:rPr>
            <w:t>18</w:t>
          </w:r>
          <w:r>
            <w:rPr>
              <w:rFonts w:asciiTheme="minorHAnsi" w:eastAsiaTheme="minorEastAsia" w:hAnsiTheme="minorHAnsi" w:cstheme="minorBidi"/>
              <w:b w:val="0"/>
              <w:noProof/>
              <w:sz w:val="22"/>
              <w:szCs w:val="22"/>
              <w:lang w:eastAsia="en-AU"/>
            </w:rPr>
            <w:tab/>
          </w:r>
          <w:r w:rsidRPr="00010BD5">
            <w:rPr>
              <w:noProof/>
            </w:rPr>
            <w:t>Housing interpretative material</w:t>
          </w:r>
          <w:r>
            <w:rPr>
              <w:noProof/>
              <w:webHidden/>
            </w:rPr>
            <w:tab/>
          </w:r>
          <w:r w:rsidR="00CC6114">
            <w:rPr>
              <w:noProof/>
              <w:webHidden/>
            </w:rPr>
            <w:t>18.</w:t>
          </w:r>
          <w:r>
            <w:rPr>
              <w:noProof/>
              <w:webHidden/>
            </w:rPr>
            <w:t>1</w:t>
          </w:r>
        </w:p>
        <w:p w14:paraId="4AA03D6D" w14:textId="2D8ACD3B"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18.1</w:t>
          </w:r>
          <w:r>
            <w:rPr>
              <w:rFonts w:asciiTheme="minorHAnsi" w:eastAsiaTheme="minorEastAsia" w:hAnsiTheme="minorHAnsi" w:cstheme="minorBidi"/>
              <w:noProof/>
              <w:sz w:val="22"/>
              <w:szCs w:val="22"/>
              <w:lang w:eastAsia="en-AU"/>
            </w:rPr>
            <w:tab/>
          </w:r>
          <w:r w:rsidRPr="00010BD5">
            <w:rPr>
              <w:noProof/>
            </w:rPr>
            <w:t>Context</w:t>
          </w:r>
          <w:r>
            <w:rPr>
              <w:noProof/>
              <w:webHidden/>
            </w:rPr>
            <w:tab/>
          </w:r>
          <w:r w:rsidR="00CC6114">
            <w:rPr>
              <w:noProof/>
              <w:webHidden/>
            </w:rPr>
            <w:t>18.</w:t>
          </w:r>
          <w:r>
            <w:rPr>
              <w:noProof/>
              <w:webHidden/>
            </w:rPr>
            <w:t>2</w:t>
          </w:r>
        </w:p>
        <w:p w14:paraId="00615BD0" w14:textId="791E8D21"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18.2</w:t>
          </w:r>
          <w:r>
            <w:rPr>
              <w:rFonts w:asciiTheme="minorHAnsi" w:eastAsiaTheme="minorEastAsia" w:hAnsiTheme="minorHAnsi" w:cstheme="minorBidi"/>
              <w:noProof/>
              <w:sz w:val="22"/>
              <w:szCs w:val="22"/>
              <w:lang w:eastAsia="en-AU"/>
            </w:rPr>
            <w:tab/>
          </w:r>
          <w:r w:rsidRPr="00010BD5">
            <w:rPr>
              <w:noProof/>
            </w:rPr>
            <w:t>Indicators</w:t>
          </w:r>
          <w:r>
            <w:rPr>
              <w:noProof/>
              <w:webHidden/>
            </w:rPr>
            <w:tab/>
          </w:r>
          <w:r w:rsidR="00CC6114">
            <w:rPr>
              <w:noProof/>
              <w:webHidden/>
            </w:rPr>
            <w:t>18.</w:t>
          </w:r>
          <w:r>
            <w:rPr>
              <w:noProof/>
              <w:webHidden/>
            </w:rPr>
            <w:t>1</w:t>
          </w:r>
          <w:r w:rsidR="00D65D4F">
            <w:rPr>
              <w:noProof/>
              <w:webHidden/>
            </w:rPr>
            <w:t>2</w:t>
          </w:r>
        </w:p>
        <w:p w14:paraId="320BEC8A" w14:textId="49A4276D" w:rsidR="00E9696D" w:rsidRDefault="00E9696D">
          <w:pPr>
            <w:pStyle w:val="TOC3"/>
            <w:rPr>
              <w:rFonts w:asciiTheme="minorHAnsi" w:eastAsiaTheme="minorEastAsia" w:hAnsiTheme="minorHAnsi" w:cstheme="minorBidi"/>
              <w:noProof/>
              <w:sz w:val="22"/>
              <w:szCs w:val="22"/>
              <w:lang w:eastAsia="en-AU"/>
            </w:rPr>
          </w:pPr>
          <w:r w:rsidRPr="00010BD5">
            <w:rPr>
              <w:noProof/>
            </w:rPr>
            <w:t>Outputs</w:t>
          </w:r>
          <w:r>
            <w:rPr>
              <w:noProof/>
              <w:webHidden/>
            </w:rPr>
            <w:tab/>
          </w:r>
          <w:r w:rsidR="00CC6114">
            <w:rPr>
              <w:noProof/>
              <w:webHidden/>
            </w:rPr>
            <w:t>18.</w:t>
          </w:r>
          <w:r>
            <w:rPr>
              <w:noProof/>
              <w:webHidden/>
            </w:rPr>
            <w:t>1</w:t>
          </w:r>
          <w:r w:rsidR="00340C53">
            <w:rPr>
              <w:noProof/>
              <w:webHidden/>
            </w:rPr>
            <w:t>3</w:t>
          </w:r>
        </w:p>
        <w:p w14:paraId="0E7E49E5" w14:textId="146AF013" w:rsidR="00E9696D" w:rsidRDefault="00E9696D">
          <w:pPr>
            <w:pStyle w:val="TOC3"/>
            <w:rPr>
              <w:rFonts w:asciiTheme="minorHAnsi" w:eastAsiaTheme="minorEastAsia" w:hAnsiTheme="minorHAnsi" w:cstheme="minorBidi"/>
              <w:noProof/>
              <w:sz w:val="22"/>
              <w:szCs w:val="22"/>
              <w:lang w:eastAsia="en-AU"/>
            </w:rPr>
          </w:pPr>
          <w:r w:rsidRPr="00010BD5">
            <w:rPr>
              <w:noProof/>
            </w:rPr>
            <w:t>Equity</w:t>
          </w:r>
          <w:r>
            <w:rPr>
              <w:noProof/>
              <w:webHidden/>
            </w:rPr>
            <w:tab/>
          </w:r>
          <w:r w:rsidR="00CC6114">
            <w:rPr>
              <w:noProof/>
              <w:webHidden/>
            </w:rPr>
            <w:t>18.</w:t>
          </w:r>
          <w:r>
            <w:rPr>
              <w:noProof/>
              <w:webHidden/>
            </w:rPr>
            <w:t>1</w:t>
          </w:r>
          <w:r w:rsidR="00340C53">
            <w:rPr>
              <w:noProof/>
              <w:webHidden/>
            </w:rPr>
            <w:t>3</w:t>
          </w:r>
        </w:p>
        <w:p w14:paraId="1DE59D4D" w14:textId="57336D40" w:rsidR="00E9696D" w:rsidRDefault="00E9696D">
          <w:pPr>
            <w:pStyle w:val="TOC4"/>
            <w:rPr>
              <w:rFonts w:asciiTheme="minorHAnsi" w:eastAsiaTheme="minorEastAsia" w:hAnsiTheme="minorHAnsi" w:cstheme="minorBidi"/>
              <w:noProof/>
              <w:sz w:val="22"/>
              <w:szCs w:val="22"/>
              <w:lang w:eastAsia="en-AU"/>
            </w:rPr>
          </w:pPr>
          <w:r w:rsidRPr="00010BD5">
            <w:rPr>
              <w:noProof/>
            </w:rPr>
            <w:t>Access — Priority access to those in greatest need</w:t>
          </w:r>
          <w:r>
            <w:rPr>
              <w:noProof/>
              <w:webHidden/>
            </w:rPr>
            <w:tab/>
          </w:r>
          <w:r w:rsidR="00CC6114">
            <w:rPr>
              <w:noProof/>
              <w:webHidden/>
            </w:rPr>
            <w:t>18.</w:t>
          </w:r>
          <w:r>
            <w:rPr>
              <w:noProof/>
              <w:webHidden/>
            </w:rPr>
            <w:t>1</w:t>
          </w:r>
          <w:r w:rsidR="008F1CC4">
            <w:rPr>
              <w:noProof/>
              <w:webHidden/>
            </w:rPr>
            <w:t>3</w:t>
          </w:r>
        </w:p>
        <w:p w14:paraId="0CD054EA" w14:textId="0073B563" w:rsidR="00E9696D" w:rsidRDefault="00E9696D">
          <w:pPr>
            <w:pStyle w:val="TOC4"/>
            <w:rPr>
              <w:rFonts w:asciiTheme="minorHAnsi" w:eastAsiaTheme="minorEastAsia" w:hAnsiTheme="minorHAnsi" w:cstheme="minorBidi"/>
              <w:noProof/>
              <w:sz w:val="22"/>
              <w:szCs w:val="22"/>
              <w:lang w:eastAsia="en-AU"/>
            </w:rPr>
          </w:pPr>
          <w:r w:rsidRPr="00010BD5">
            <w:rPr>
              <w:noProof/>
            </w:rPr>
            <w:t xml:space="preserve">Access — </w:t>
          </w:r>
          <w:r w:rsidR="00E40EAC">
            <w:rPr>
              <w:noProof/>
            </w:rPr>
            <w:t>Selected equity groups</w:t>
          </w:r>
          <w:r>
            <w:rPr>
              <w:noProof/>
              <w:webHidden/>
            </w:rPr>
            <w:tab/>
          </w:r>
          <w:r w:rsidR="00CC6114">
            <w:rPr>
              <w:noProof/>
              <w:webHidden/>
            </w:rPr>
            <w:t>18.</w:t>
          </w:r>
          <w:r>
            <w:rPr>
              <w:noProof/>
              <w:webHidden/>
            </w:rPr>
            <w:t>1</w:t>
          </w:r>
          <w:r w:rsidR="009371EE">
            <w:rPr>
              <w:noProof/>
              <w:webHidden/>
            </w:rPr>
            <w:t>4</w:t>
          </w:r>
        </w:p>
        <w:p w14:paraId="2F56427E" w14:textId="15A9527E" w:rsidR="00E9696D" w:rsidRDefault="00E9696D">
          <w:pPr>
            <w:pStyle w:val="TOC3"/>
            <w:rPr>
              <w:rFonts w:asciiTheme="minorHAnsi" w:eastAsiaTheme="minorEastAsia" w:hAnsiTheme="minorHAnsi" w:cstheme="minorBidi"/>
              <w:noProof/>
              <w:sz w:val="22"/>
              <w:szCs w:val="22"/>
              <w:lang w:eastAsia="en-AU"/>
            </w:rPr>
          </w:pPr>
          <w:r w:rsidRPr="00010BD5">
            <w:rPr>
              <w:noProof/>
            </w:rPr>
            <w:t>Effectiveness</w:t>
          </w:r>
          <w:r>
            <w:rPr>
              <w:noProof/>
              <w:webHidden/>
            </w:rPr>
            <w:tab/>
          </w:r>
          <w:r w:rsidR="00CC6114">
            <w:rPr>
              <w:noProof/>
              <w:webHidden/>
            </w:rPr>
            <w:t>18.</w:t>
          </w:r>
          <w:r>
            <w:rPr>
              <w:noProof/>
              <w:webHidden/>
            </w:rPr>
            <w:t>1</w:t>
          </w:r>
          <w:r w:rsidR="00D65D4F">
            <w:rPr>
              <w:noProof/>
              <w:webHidden/>
            </w:rPr>
            <w:t>5</w:t>
          </w:r>
        </w:p>
        <w:p w14:paraId="1B419911" w14:textId="5A258985" w:rsidR="00E9696D" w:rsidRDefault="00E9696D">
          <w:pPr>
            <w:pStyle w:val="TOC4"/>
            <w:rPr>
              <w:rFonts w:asciiTheme="minorHAnsi" w:eastAsiaTheme="minorEastAsia" w:hAnsiTheme="minorHAnsi" w:cstheme="minorBidi"/>
              <w:noProof/>
              <w:sz w:val="22"/>
              <w:szCs w:val="22"/>
              <w:lang w:eastAsia="en-AU"/>
            </w:rPr>
          </w:pPr>
          <w:r w:rsidRPr="00010BD5">
            <w:rPr>
              <w:noProof/>
            </w:rPr>
            <w:t>Access — Affordability</w:t>
          </w:r>
          <w:r>
            <w:rPr>
              <w:noProof/>
              <w:webHidden/>
            </w:rPr>
            <w:tab/>
          </w:r>
          <w:r w:rsidR="00CC6114">
            <w:rPr>
              <w:noProof/>
              <w:webHidden/>
            </w:rPr>
            <w:t>18.</w:t>
          </w:r>
          <w:r>
            <w:rPr>
              <w:noProof/>
              <w:webHidden/>
            </w:rPr>
            <w:t>1</w:t>
          </w:r>
          <w:r w:rsidR="00D65D4F">
            <w:rPr>
              <w:noProof/>
              <w:webHidden/>
            </w:rPr>
            <w:t>5</w:t>
          </w:r>
        </w:p>
        <w:p w14:paraId="3E99EAFB" w14:textId="746C1313" w:rsidR="00E9696D" w:rsidRDefault="00960555">
          <w:pPr>
            <w:pStyle w:val="TOC4"/>
            <w:rPr>
              <w:rFonts w:asciiTheme="minorHAnsi" w:eastAsiaTheme="minorEastAsia" w:hAnsiTheme="minorHAnsi" w:cstheme="minorBidi"/>
              <w:noProof/>
              <w:sz w:val="22"/>
              <w:szCs w:val="22"/>
              <w:lang w:eastAsia="en-AU"/>
            </w:rPr>
          </w:pPr>
          <w:r>
            <w:rPr>
              <w:noProof/>
            </w:rPr>
            <w:t>Time waited</w:t>
          </w:r>
          <w:r w:rsidR="00E9696D">
            <w:rPr>
              <w:noProof/>
              <w:webHidden/>
            </w:rPr>
            <w:tab/>
          </w:r>
          <w:r w:rsidR="00CC6114">
            <w:rPr>
              <w:noProof/>
              <w:webHidden/>
            </w:rPr>
            <w:t>18.</w:t>
          </w:r>
          <w:r w:rsidR="00E9696D">
            <w:rPr>
              <w:noProof/>
              <w:webHidden/>
            </w:rPr>
            <w:t>1</w:t>
          </w:r>
          <w:r w:rsidR="002B78F6">
            <w:rPr>
              <w:noProof/>
              <w:webHidden/>
            </w:rPr>
            <w:t>5</w:t>
          </w:r>
        </w:p>
        <w:p w14:paraId="31D875CD" w14:textId="11A50A1A" w:rsidR="00E9696D" w:rsidRDefault="00E9696D">
          <w:pPr>
            <w:pStyle w:val="TOC4"/>
            <w:rPr>
              <w:rFonts w:asciiTheme="minorHAnsi" w:eastAsiaTheme="minorEastAsia" w:hAnsiTheme="minorHAnsi" w:cstheme="minorBidi"/>
              <w:noProof/>
              <w:sz w:val="22"/>
              <w:szCs w:val="22"/>
              <w:lang w:eastAsia="en-AU"/>
            </w:rPr>
          </w:pPr>
          <w:r w:rsidRPr="00010BD5">
            <w:rPr>
              <w:noProof/>
            </w:rPr>
            <w:t>Appropriateness — Match of dwelling to household size</w:t>
          </w:r>
          <w:r>
            <w:rPr>
              <w:noProof/>
              <w:webHidden/>
            </w:rPr>
            <w:tab/>
          </w:r>
          <w:r w:rsidR="00CC6114">
            <w:rPr>
              <w:noProof/>
              <w:webHidden/>
            </w:rPr>
            <w:t>18.</w:t>
          </w:r>
          <w:r>
            <w:rPr>
              <w:noProof/>
              <w:webHidden/>
            </w:rPr>
            <w:t>1</w:t>
          </w:r>
          <w:r w:rsidR="00343D7D">
            <w:rPr>
              <w:noProof/>
              <w:webHidden/>
            </w:rPr>
            <w:t>6</w:t>
          </w:r>
        </w:p>
        <w:p w14:paraId="582C1269" w14:textId="0F1788E9" w:rsidR="00E9696D" w:rsidRDefault="00E9696D">
          <w:pPr>
            <w:pStyle w:val="TOC4"/>
            <w:rPr>
              <w:rFonts w:asciiTheme="minorHAnsi" w:eastAsiaTheme="minorEastAsia" w:hAnsiTheme="minorHAnsi" w:cstheme="minorBidi"/>
              <w:noProof/>
              <w:sz w:val="22"/>
              <w:szCs w:val="22"/>
              <w:lang w:eastAsia="en-AU"/>
            </w:rPr>
          </w:pPr>
          <w:r w:rsidRPr="00010BD5">
            <w:rPr>
              <w:noProof/>
            </w:rPr>
            <w:t>Appropriateness — Amenity/location</w:t>
          </w:r>
          <w:r>
            <w:rPr>
              <w:noProof/>
              <w:webHidden/>
            </w:rPr>
            <w:tab/>
          </w:r>
          <w:r w:rsidR="00CC6114" w:rsidRPr="001360B7">
            <w:rPr>
              <w:noProof/>
              <w:webHidden/>
            </w:rPr>
            <w:t>18.</w:t>
          </w:r>
          <w:r w:rsidRPr="001360B7">
            <w:rPr>
              <w:noProof/>
              <w:webHidden/>
            </w:rPr>
            <w:t>1</w:t>
          </w:r>
          <w:r w:rsidR="00343D7D">
            <w:rPr>
              <w:noProof/>
              <w:webHidden/>
            </w:rPr>
            <w:t>7</w:t>
          </w:r>
        </w:p>
        <w:p w14:paraId="2DCB374A" w14:textId="3EF59673" w:rsidR="00E9696D" w:rsidRDefault="00E9696D">
          <w:pPr>
            <w:pStyle w:val="TOC4"/>
            <w:rPr>
              <w:rFonts w:asciiTheme="minorHAnsi" w:eastAsiaTheme="minorEastAsia" w:hAnsiTheme="minorHAnsi" w:cstheme="minorBidi"/>
              <w:noProof/>
              <w:sz w:val="22"/>
              <w:szCs w:val="22"/>
              <w:lang w:eastAsia="en-AU"/>
            </w:rPr>
          </w:pPr>
          <w:r w:rsidRPr="00010BD5">
            <w:rPr>
              <w:noProof/>
            </w:rPr>
            <w:t>Quality — Dwelling condition</w:t>
          </w:r>
          <w:r>
            <w:rPr>
              <w:noProof/>
              <w:webHidden/>
            </w:rPr>
            <w:tab/>
          </w:r>
          <w:r w:rsidR="00CC6114">
            <w:rPr>
              <w:noProof/>
              <w:webHidden/>
            </w:rPr>
            <w:t>18.</w:t>
          </w:r>
          <w:r>
            <w:rPr>
              <w:noProof/>
              <w:webHidden/>
            </w:rPr>
            <w:t>1</w:t>
          </w:r>
          <w:r w:rsidR="00343D7D">
            <w:rPr>
              <w:noProof/>
              <w:webHidden/>
            </w:rPr>
            <w:t>8</w:t>
          </w:r>
        </w:p>
        <w:p w14:paraId="6814CFFF" w14:textId="448BE656" w:rsidR="00E9696D" w:rsidRDefault="00E9696D">
          <w:pPr>
            <w:pStyle w:val="TOC4"/>
            <w:rPr>
              <w:rFonts w:asciiTheme="minorHAnsi" w:eastAsiaTheme="minorEastAsia" w:hAnsiTheme="minorHAnsi" w:cstheme="minorBidi"/>
              <w:noProof/>
              <w:sz w:val="22"/>
              <w:szCs w:val="22"/>
              <w:lang w:eastAsia="en-AU"/>
            </w:rPr>
          </w:pPr>
          <w:r w:rsidRPr="00010BD5">
            <w:rPr>
              <w:noProof/>
            </w:rPr>
            <w:t>Quality — Customer satisfaction</w:t>
          </w:r>
          <w:r>
            <w:rPr>
              <w:noProof/>
              <w:webHidden/>
            </w:rPr>
            <w:tab/>
          </w:r>
          <w:r w:rsidR="00CC6114">
            <w:rPr>
              <w:noProof/>
              <w:webHidden/>
            </w:rPr>
            <w:t>18.</w:t>
          </w:r>
          <w:r w:rsidR="00D94CF0">
            <w:rPr>
              <w:noProof/>
              <w:webHidden/>
            </w:rPr>
            <w:t>1</w:t>
          </w:r>
          <w:r w:rsidR="0039452B">
            <w:rPr>
              <w:noProof/>
              <w:webHidden/>
            </w:rPr>
            <w:t>8</w:t>
          </w:r>
        </w:p>
        <w:p w14:paraId="017C59BC" w14:textId="31F339A3" w:rsidR="00E9696D" w:rsidRDefault="00E9696D">
          <w:pPr>
            <w:pStyle w:val="TOC4"/>
            <w:rPr>
              <w:rFonts w:asciiTheme="minorHAnsi" w:eastAsiaTheme="minorEastAsia" w:hAnsiTheme="minorHAnsi" w:cstheme="minorBidi"/>
              <w:noProof/>
              <w:sz w:val="22"/>
              <w:szCs w:val="22"/>
              <w:lang w:eastAsia="en-AU"/>
            </w:rPr>
          </w:pPr>
          <w:r w:rsidRPr="00010BD5">
            <w:rPr>
              <w:noProof/>
            </w:rPr>
            <w:t>Sustainability</w:t>
          </w:r>
          <w:r>
            <w:rPr>
              <w:noProof/>
              <w:webHidden/>
            </w:rPr>
            <w:tab/>
          </w:r>
          <w:r w:rsidR="00CC6114">
            <w:rPr>
              <w:noProof/>
              <w:webHidden/>
            </w:rPr>
            <w:t>18.</w:t>
          </w:r>
          <w:r w:rsidR="003F5C3D">
            <w:rPr>
              <w:noProof/>
              <w:webHidden/>
            </w:rPr>
            <w:t>1</w:t>
          </w:r>
          <w:r w:rsidR="00C2252C">
            <w:rPr>
              <w:noProof/>
              <w:webHidden/>
            </w:rPr>
            <w:t>9</w:t>
          </w:r>
        </w:p>
        <w:p w14:paraId="1A8B2A96" w14:textId="5C50D593" w:rsidR="00E9696D" w:rsidRDefault="00E9696D">
          <w:pPr>
            <w:pStyle w:val="TOC3"/>
            <w:rPr>
              <w:rFonts w:asciiTheme="minorHAnsi" w:eastAsiaTheme="minorEastAsia" w:hAnsiTheme="minorHAnsi" w:cstheme="minorBidi"/>
              <w:noProof/>
              <w:sz w:val="22"/>
              <w:szCs w:val="22"/>
              <w:lang w:eastAsia="en-AU"/>
            </w:rPr>
          </w:pPr>
          <w:r w:rsidRPr="00010BD5">
            <w:rPr>
              <w:noProof/>
            </w:rPr>
            <w:t>Efficiency</w:t>
          </w:r>
          <w:r>
            <w:rPr>
              <w:noProof/>
              <w:webHidden/>
            </w:rPr>
            <w:tab/>
          </w:r>
          <w:r w:rsidR="00CC6114">
            <w:rPr>
              <w:noProof/>
              <w:webHidden/>
            </w:rPr>
            <w:t>18.</w:t>
          </w:r>
          <w:r w:rsidR="00C2252C">
            <w:rPr>
              <w:noProof/>
              <w:webHidden/>
            </w:rPr>
            <w:t>19</w:t>
          </w:r>
        </w:p>
        <w:p w14:paraId="67ED7330" w14:textId="26747247" w:rsidR="00E9696D" w:rsidRDefault="00E9696D">
          <w:pPr>
            <w:pStyle w:val="TOC4"/>
            <w:rPr>
              <w:rFonts w:asciiTheme="minorHAnsi" w:eastAsiaTheme="minorEastAsia" w:hAnsiTheme="minorHAnsi" w:cstheme="minorBidi"/>
              <w:noProof/>
              <w:sz w:val="22"/>
              <w:szCs w:val="22"/>
              <w:lang w:eastAsia="en-AU"/>
            </w:rPr>
          </w:pPr>
          <w:r w:rsidRPr="00010BD5">
            <w:rPr>
              <w:noProof/>
            </w:rPr>
            <w:t>Net recurrent cost per dwelling</w:t>
          </w:r>
          <w:r>
            <w:rPr>
              <w:noProof/>
              <w:webHidden/>
            </w:rPr>
            <w:tab/>
          </w:r>
          <w:r w:rsidR="00CC6114">
            <w:rPr>
              <w:noProof/>
              <w:webHidden/>
            </w:rPr>
            <w:t>18.</w:t>
          </w:r>
          <w:r w:rsidR="00C2252C">
            <w:rPr>
              <w:noProof/>
              <w:webHidden/>
            </w:rPr>
            <w:t>19</w:t>
          </w:r>
        </w:p>
        <w:p w14:paraId="1B68F4B5" w14:textId="299D30D0" w:rsidR="00E9696D" w:rsidRDefault="00E9696D">
          <w:pPr>
            <w:pStyle w:val="TOC3"/>
            <w:rPr>
              <w:rFonts w:asciiTheme="minorHAnsi" w:eastAsiaTheme="minorEastAsia" w:hAnsiTheme="minorHAnsi" w:cstheme="minorBidi"/>
              <w:noProof/>
              <w:sz w:val="22"/>
              <w:szCs w:val="22"/>
              <w:lang w:eastAsia="en-AU"/>
            </w:rPr>
          </w:pPr>
          <w:r w:rsidRPr="00010BD5">
            <w:rPr>
              <w:noProof/>
            </w:rPr>
            <w:t>Outcomes</w:t>
          </w:r>
          <w:r>
            <w:rPr>
              <w:noProof/>
              <w:webHidden/>
            </w:rPr>
            <w:tab/>
          </w:r>
          <w:r w:rsidR="00CC6114">
            <w:rPr>
              <w:noProof/>
              <w:webHidden/>
            </w:rPr>
            <w:t>18.</w:t>
          </w:r>
          <w:r w:rsidR="00552AD2">
            <w:rPr>
              <w:noProof/>
              <w:webHidden/>
            </w:rPr>
            <w:t>20</w:t>
          </w:r>
        </w:p>
        <w:p w14:paraId="24809414" w14:textId="09A1D9E4" w:rsidR="00E9696D" w:rsidRDefault="00E9696D">
          <w:pPr>
            <w:pStyle w:val="TOC4"/>
            <w:rPr>
              <w:rFonts w:asciiTheme="minorHAnsi" w:eastAsiaTheme="minorEastAsia" w:hAnsiTheme="minorHAnsi" w:cstheme="minorBidi"/>
              <w:noProof/>
              <w:sz w:val="22"/>
              <w:szCs w:val="22"/>
              <w:lang w:eastAsia="en-AU"/>
            </w:rPr>
          </w:pPr>
          <w:r w:rsidRPr="00010BD5">
            <w:rPr>
              <w:noProof/>
            </w:rPr>
            <w:t>Social and economic participation</w:t>
          </w:r>
          <w:r>
            <w:rPr>
              <w:noProof/>
              <w:webHidden/>
            </w:rPr>
            <w:tab/>
          </w:r>
          <w:r w:rsidR="00CC6114">
            <w:rPr>
              <w:noProof/>
              <w:webHidden/>
            </w:rPr>
            <w:t>18.</w:t>
          </w:r>
          <w:r>
            <w:rPr>
              <w:noProof/>
              <w:webHidden/>
            </w:rPr>
            <w:t>2</w:t>
          </w:r>
          <w:r w:rsidR="00552AD2">
            <w:rPr>
              <w:noProof/>
              <w:webHidden/>
            </w:rPr>
            <w:t>0</w:t>
          </w:r>
        </w:p>
        <w:p w14:paraId="73BD9250" w14:textId="77365288"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18.3</w:t>
          </w:r>
          <w:r>
            <w:rPr>
              <w:rFonts w:asciiTheme="minorHAnsi" w:eastAsiaTheme="minorEastAsia" w:hAnsiTheme="minorHAnsi" w:cstheme="minorBidi"/>
              <w:noProof/>
              <w:sz w:val="22"/>
              <w:szCs w:val="22"/>
              <w:lang w:eastAsia="en-AU"/>
            </w:rPr>
            <w:tab/>
          </w:r>
          <w:r w:rsidRPr="00010BD5">
            <w:rPr>
              <w:noProof/>
            </w:rPr>
            <w:t>Definitions of key terms</w:t>
          </w:r>
          <w:r>
            <w:rPr>
              <w:noProof/>
              <w:webHidden/>
            </w:rPr>
            <w:tab/>
          </w:r>
          <w:r w:rsidR="00CC6114">
            <w:rPr>
              <w:noProof/>
              <w:webHidden/>
            </w:rPr>
            <w:t>18.</w:t>
          </w:r>
          <w:r>
            <w:rPr>
              <w:noProof/>
              <w:webHidden/>
            </w:rPr>
            <w:t>2</w:t>
          </w:r>
          <w:r w:rsidR="00C96988">
            <w:rPr>
              <w:noProof/>
              <w:webHidden/>
            </w:rPr>
            <w:t>1</w:t>
          </w:r>
        </w:p>
        <w:p w14:paraId="4AA2F91A" w14:textId="4D9888E2" w:rsidR="00E9696D" w:rsidRDefault="00E9696D">
          <w:pPr>
            <w:pStyle w:val="TOC2"/>
            <w:tabs>
              <w:tab w:val="left" w:pos="1320"/>
            </w:tabs>
            <w:rPr>
              <w:rFonts w:asciiTheme="minorHAnsi" w:eastAsiaTheme="minorEastAsia" w:hAnsiTheme="minorHAnsi" w:cstheme="minorBidi"/>
              <w:noProof/>
              <w:sz w:val="22"/>
              <w:szCs w:val="22"/>
              <w:lang w:eastAsia="en-AU"/>
            </w:rPr>
          </w:pPr>
          <w:r w:rsidRPr="00010BD5">
            <w:rPr>
              <w:noProof/>
            </w:rPr>
            <w:t>18.4</w:t>
          </w:r>
          <w:r>
            <w:rPr>
              <w:rFonts w:asciiTheme="minorHAnsi" w:eastAsiaTheme="minorEastAsia" w:hAnsiTheme="minorHAnsi" w:cstheme="minorBidi"/>
              <w:noProof/>
              <w:sz w:val="22"/>
              <w:szCs w:val="22"/>
              <w:lang w:eastAsia="en-AU"/>
            </w:rPr>
            <w:tab/>
          </w:r>
          <w:r w:rsidRPr="00010BD5">
            <w:rPr>
              <w:noProof/>
            </w:rPr>
            <w:t>References</w:t>
          </w:r>
          <w:r>
            <w:rPr>
              <w:noProof/>
              <w:webHidden/>
            </w:rPr>
            <w:tab/>
          </w:r>
          <w:r w:rsidR="00CC6114">
            <w:rPr>
              <w:noProof/>
              <w:webHidden/>
            </w:rPr>
            <w:t>18.</w:t>
          </w:r>
          <w:r>
            <w:rPr>
              <w:noProof/>
              <w:webHidden/>
            </w:rPr>
            <w:t>2</w:t>
          </w:r>
          <w:r w:rsidR="00C96988">
            <w:rPr>
              <w:noProof/>
              <w:webHidden/>
            </w:rPr>
            <w:t>5</w:t>
          </w:r>
        </w:p>
        <w:p w14:paraId="504A64BC" w14:textId="50A2ECF7" w:rsidR="00536344" w:rsidRDefault="008B060B" w:rsidP="00536344">
          <w:pPr>
            <w:pStyle w:val="TOC1"/>
          </w:pPr>
        </w:p>
      </w:sdtContent>
    </w:sdt>
    <w:p w14:paraId="519C3542" w14:textId="2CCFFBFC" w:rsidR="00060D89" w:rsidRDefault="00060D89" w:rsidP="00060D89">
      <w:pPr>
        <w:pStyle w:val="BodyText"/>
      </w:pPr>
      <w:r>
        <w:t>The housing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w:t>
      </w:r>
      <w:r w:rsidR="00607436">
        <w:t>eness and comparability status.</w:t>
      </w:r>
    </w:p>
    <w:p w14:paraId="448E263C" w14:textId="2F242E5A" w:rsidR="004B2A15" w:rsidRDefault="00060D89" w:rsidP="004B2A15">
      <w:pPr>
        <w:pStyle w:val="BodyText"/>
      </w:pPr>
      <w:r>
        <w:lastRenderedPageBreak/>
        <w:t>Further information on the Report on Government Services including other reported service areas, the glossary and list of abbreviations is available at https://www.pc.gov.au/research/</w:t>
      </w:r>
      <w:r>
        <w:br/>
        <w:t>ongoing/report on government services.</w:t>
      </w:r>
    </w:p>
    <w:p w14:paraId="1C5DAD22" w14:textId="77777777" w:rsidR="00060D89" w:rsidRDefault="00060D89" w:rsidP="00060D89">
      <w:pPr>
        <w:pStyle w:val="Heading2"/>
      </w:pPr>
      <w:bookmarkStart w:id="3" w:name="_Toc18675353"/>
      <w:bookmarkStart w:id="4" w:name="_Toc27564450"/>
      <w:r w:rsidRPr="00A27F3F">
        <w:t>18.</w:t>
      </w:r>
      <w:r w:rsidRPr="00A27F3F">
        <w:rPr>
          <w:noProof/>
        </w:rPr>
        <w:t>1</w:t>
      </w:r>
      <w:r w:rsidRPr="00A27F3F">
        <w:tab/>
        <w:t>Context</w:t>
      </w:r>
      <w:bookmarkEnd w:id="3"/>
      <w:bookmarkEnd w:id="4"/>
    </w:p>
    <w:p w14:paraId="57456958" w14:textId="59EDF8DE" w:rsidR="008042A6" w:rsidRPr="008B2194" w:rsidRDefault="00F916DB" w:rsidP="00371971">
      <w:pPr>
        <w:pStyle w:val="BodyText"/>
        <w:rPr>
          <w:rStyle w:val="DraftingNote"/>
        </w:rPr>
        <w:sectPr w:rsidR="008042A6" w:rsidRPr="008B2194" w:rsidSect="00B84B90">
          <w:headerReference w:type="even" r:id="rId11"/>
          <w:headerReference w:type="default" r:id="rId12"/>
          <w:footerReference w:type="even" r:id="rId13"/>
          <w:footerReference w:type="default" r:id="rId14"/>
          <w:headerReference w:type="first" r:id="rId15"/>
          <w:footerReference w:type="first" r:id="rId16"/>
          <w:pgSz w:w="11907" w:h="16840" w:code="9"/>
          <w:pgMar w:top="1985" w:right="1304" w:bottom="1247" w:left="1814" w:header="1701" w:footer="397" w:gutter="0"/>
          <w:pgNumType w:start="1" w:chapSep="period"/>
          <w:cols w:space="720"/>
        </w:sectPr>
      </w:pPr>
      <w:r>
        <w:t>I</w:t>
      </w:r>
      <w:r w:rsidRPr="00F916DB">
        <w:t xml:space="preserve">nformation on public housing, SOMIH and community housing </w:t>
      </w:r>
      <w:r w:rsidR="00A16D87" w:rsidRPr="00F916DB">
        <w:t xml:space="preserve">context </w:t>
      </w:r>
      <w:r w:rsidR="00A16D87">
        <w:t>is provided in tables </w:t>
      </w:r>
      <w:r w:rsidR="00F23046" w:rsidRPr="00F23046">
        <w:t>18.</w:t>
      </w:r>
      <w:r w:rsidR="00F23046">
        <w:t>1–</w:t>
      </w:r>
      <w:r w:rsidR="003C170B">
        <w:t>5</w:t>
      </w:r>
      <w:r w:rsidR="00A04620">
        <w:t>.</w:t>
      </w:r>
    </w:p>
    <w:p w14:paraId="2453FD2C" w14:textId="77777777" w:rsidR="000F357E" w:rsidRPr="00B202DF" w:rsidRDefault="000F357E" w:rsidP="000F357E">
      <w:pPr>
        <w:pStyle w:val="BoxSpaceAbove"/>
      </w:pPr>
      <w:r w:rsidRPr="00B202DF">
        <w:lastRenderedPageBreak/>
        <w:tab/>
      </w: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6B2D24" w14:paraId="73BE5543" w14:textId="77777777" w:rsidTr="4E7DCBFD">
        <w:trPr>
          <w:tblHeader/>
        </w:trPr>
        <w:tc>
          <w:tcPr>
            <w:tcW w:w="5000" w:type="pct"/>
            <w:shd w:val="clear" w:color="auto" w:fill="auto"/>
          </w:tcPr>
          <w:p w14:paraId="03126521" w14:textId="5718C3D7" w:rsidR="006B2D24" w:rsidRPr="00021BFB" w:rsidRDefault="006B2D24" w:rsidP="00055DB8">
            <w:pPr>
              <w:pStyle w:val="TableTitle"/>
              <w:tabs>
                <w:tab w:val="left" w:pos="720"/>
                <w:tab w:val="left" w:pos="1440"/>
                <w:tab w:val="left" w:pos="2160"/>
                <w:tab w:val="left" w:pos="2880"/>
                <w:tab w:val="left" w:pos="3600"/>
                <w:tab w:val="left" w:pos="4320"/>
                <w:tab w:val="left" w:pos="5040"/>
                <w:tab w:val="left" w:pos="5760"/>
                <w:tab w:val="left" w:pos="10140"/>
              </w:tabs>
              <w:rPr>
                <w:b w:val="0"/>
                <w:bCs/>
                <w:color w:val="C00000"/>
                <w:sz w:val="18"/>
                <w:szCs w:val="18"/>
              </w:rPr>
            </w:pPr>
            <w:r>
              <w:rPr>
                <w:b w:val="0"/>
              </w:rPr>
              <w:t>Table 18.</w:t>
            </w:r>
            <w:r>
              <w:rPr>
                <w:b w:val="0"/>
                <w:noProof/>
              </w:rPr>
              <w:t>1</w:t>
            </w:r>
            <w:r>
              <w:tab/>
            </w:r>
            <w:r w:rsidRPr="00EB1216">
              <w:t>Public h</w:t>
            </w:r>
            <w:r>
              <w:t xml:space="preserve">ousing policy context, </w:t>
            </w:r>
            <w:r w:rsidRPr="00F53AA6">
              <w:t>202</w:t>
            </w:r>
            <w:r w:rsidR="00055DB8">
              <w:t>1</w:t>
            </w:r>
            <w:r w:rsidRPr="00E75C05">
              <w:rPr>
                <w:rStyle w:val="NoteLabel"/>
                <w:b/>
                <w:bCs/>
              </w:rPr>
              <w:t>a, b, c</w:t>
            </w:r>
          </w:p>
        </w:tc>
      </w:tr>
      <w:tr w:rsidR="006B2D24" w14:paraId="5D621AC8" w14:textId="77777777" w:rsidTr="4E7DCBFD">
        <w:tc>
          <w:tcPr>
            <w:tcW w:w="5000" w:type="pct"/>
            <w:shd w:val="clear" w:color="auto" w:fill="auto"/>
          </w:tcPr>
          <w:tbl>
            <w:tblPr>
              <w:tblW w:w="13324" w:type="dxa"/>
              <w:tblCellMar>
                <w:top w:w="28" w:type="dxa"/>
                <w:left w:w="0" w:type="dxa"/>
                <w:right w:w="0" w:type="dxa"/>
              </w:tblCellMar>
              <w:tblLook w:val="0000" w:firstRow="0" w:lastRow="0" w:firstColumn="0" w:lastColumn="0" w:noHBand="0" w:noVBand="0"/>
            </w:tblPr>
            <w:tblGrid>
              <w:gridCol w:w="1290"/>
              <w:gridCol w:w="173"/>
              <w:gridCol w:w="914"/>
              <w:gridCol w:w="1564"/>
              <w:gridCol w:w="1564"/>
              <w:gridCol w:w="1564"/>
              <w:gridCol w:w="1567"/>
              <w:gridCol w:w="1567"/>
              <w:gridCol w:w="1567"/>
              <w:gridCol w:w="1554"/>
            </w:tblGrid>
            <w:tr w:rsidR="006B2D24" w:rsidRPr="001A49A7" w14:paraId="0E64E330" w14:textId="77777777" w:rsidTr="4E7DCBFD">
              <w:trPr>
                <w:trHeight w:val="276"/>
                <w:tblHeader/>
              </w:trPr>
              <w:tc>
                <w:tcPr>
                  <w:tcW w:w="484"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7D9E6F9" w14:textId="77777777" w:rsidR="006B2D24" w:rsidRDefault="006B2D24" w:rsidP="00EB0D3C">
                  <w:pPr>
                    <w:pStyle w:val="TableColumnHeading"/>
                    <w:ind w:right="28"/>
                    <w:jc w:val="left"/>
                  </w:pPr>
                </w:p>
              </w:tc>
              <w:tc>
                <w:tcPr>
                  <w:tcW w:w="408" w:type="pct"/>
                  <w:gridSpan w:val="2"/>
                  <w:tcBorders>
                    <w:top w:val="single" w:sz="6" w:space="0" w:color="BFBFBF" w:themeColor="background1" w:themeShade="BF"/>
                    <w:bottom w:val="single" w:sz="6" w:space="0" w:color="BFBFBF" w:themeColor="background1" w:themeShade="BF"/>
                  </w:tcBorders>
                </w:tcPr>
                <w:p w14:paraId="2D7EC423" w14:textId="334DD194" w:rsidR="006B2D24" w:rsidRPr="008F61D2" w:rsidRDefault="006B2D24" w:rsidP="003A58D2">
                  <w:pPr>
                    <w:pStyle w:val="TableColumnHeading"/>
                    <w:jc w:val="center"/>
                  </w:pPr>
                  <w:r w:rsidRPr="00A04620">
                    <w:t>NSW</w:t>
                  </w:r>
                  <w:r w:rsidRPr="009608F7">
                    <w:rPr>
                      <w:rStyle w:val="NoteLabel"/>
                    </w:rPr>
                    <w:t>d</w:t>
                  </w:r>
                </w:p>
              </w:tc>
              <w:tc>
                <w:tcPr>
                  <w:tcW w:w="58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733738D8" w14:textId="4B6DD775" w:rsidR="006B2D24" w:rsidRPr="008F61D2" w:rsidRDefault="006B2D24" w:rsidP="003A58D2">
                  <w:pPr>
                    <w:pStyle w:val="TableColumnHeading"/>
                    <w:jc w:val="center"/>
                  </w:pPr>
                  <w:r w:rsidRPr="008F61D2">
                    <w:t>Vic</w:t>
                  </w:r>
                  <w:r w:rsidRPr="009608F7">
                    <w:rPr>
                      <w:rStyle w:val="NoteLabel"/>
                    </w:rPr>
                    <w:t>e</w:t>
                  </w:r>
                </w:p>
              </w:tc>
              <w:tc>
                <w:tcPr>
                  <w:tcW w:w="58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288CB746" w14:textId="3BBC644C" w:rsidR="006B2D24" w:rsidRPr="00CE48B5" w:rsidRDefault="006B2D24" w:rsidP="003A58D2">
                  <w:pPr>
                    <w:pStyle w:val="TableColumnHeading"/>
                    <w:jc w:val="center"/>
                    <w:rPr>
                      <w:b/>
                      <w:bCs/>
                    </w:rPr>
                  </w:pPr>
                  <w:r w:rsidRPr="009D32BD">
                    <w:t>Qld</w:t>
                  </w:r>
                  <w:r w:rsidR="00CE48B5" w:rsidRPr="00C115FE">
                    <w:rPr>
                      <w:rStyle w:val="NoteLabel"/>
                      <w:bCs/>
                    </w:rPr>
                    <w:t>f</w:t>
                  </w:r>
                </w:p>
              </w:tc>
              <w:tc>
                <w:tcPr>
                  <w:tcW w:w="587" w:type="pct"/>
                  <w:tcBorders>
                    <w:top w:val="single" w:sz="6" w:space="0" w:color="BFBFBF" w:themeColor="background1" w:themeShade="BF"/>
                    <w:bottom w:val="single" w:sz="6" w:space="0" w:color="BFBFBF" w:themeColor="background1" w:themeShade="BF"/>
                  </w:tcBorders>
                </w:tcPr>
                <w:p w14:paraId="395FB533" w14:textId="3AC0FD2E" w:rsidR="006B2D24" w:rsidRPr="008F61D2" w:rsidRDefault="006B2D24" w:rsidP="003A58D2">
                  <w:pPr>
                    <w:pStyle w:val="TableColumnHeading"/>
                    <w:jc w:val="center"/>
                  </w:pPr>
                  <w:r w:rsidRPr="008F61D2">
                    <w:t>WA</w:t>
                  </w:r>
                  <w:r w:rsidRPr="008F61D2">
                    <w:rPr>
                      <w:rStyle w:val="NoteLabel"/>
                    </w:rPr>
                    <w:t>g</w:t>
                  </w:r>
                </w:p>
              </w:tc>
              <w:tc>
                <w:tcPr>
                  <w:tcW w:w="588" w:type="pct"/>
                  <w:tcBorders>
                    <w:top w:val="single" w:sz="6" w:space="0" w:color="BFBFBF" w:themeColor="background1" w:themeShade="BF"/>
                    <w:bottom w:val="single" w:sz="6" w:space="0" w:color="BFBFBF" w:themeColor="background1" w:themeShade="BF"/>
                  </w:tcBorders>
                </w:tcPr>
                <w:p w14:paraId="27B724EB" w14:textId="34F160F5" w:rsidR="006B2D24" w:rsidRPr="008F61D2" w:rsidRDefault="006B2D24" w:rsidP="003A58D2">
                  <w:pPr>
                    <w:pStyle w:val="TableColumnHeading"/>
                    <w:jc w:val="center"/>
                  </w:pPr>
                  <w:r w:rsidRPr="008F61D2">
                    <w:t>SA</w:t>
                  </w:r>
                  <w:r w:rsidRPr="008F61D2">
                    <w:rPr>
                      <w:rStyle w:val="NoteLabel"/>
                    </w:rPr>
                    <w:t>h</w:t>
                  </w:r>
                </w:p>
              </w:tc>
              <w:tc>
                <w:tcPr>
                  <w:tcW w:w="588" w:type="pct"/>
                  <w:tcBorders>
                    <w:top w:val="single" w:sz="6" w:space="0" w:color="BFBFBF" w:themeColor="background1" w:themeShade="BF"/>
                    <w:bottom w:val="single" w:sz="6" w:space="0" w:color="BFBFBF" w:themeColor="background1" w:themeShade="BF"/>
                  </w:tcBorders>
                </w:tcPr>
                <w:p w14:paraId="38101879" w14:textId="0F19F4E7" w:rsidR="006B2D24" w:rsidRPr="008F61D2" w:rsidRDefault="006B2D24" w:rsidP="003A58D2">
                  <w:pPr>
                    <w:pStyle w:val="TableColumnHeading"/>
                    <w:jc w:val="center"/>
                  </w:pPr>
                  <w:r w:rsidRPr="008F61D2">
                    <w:t>Tas</w:t>
                  </w:r>
                  <w:r w:rsidRPr="008F61D2">
                    <w:rPr>
                      <w:rStyle w:val="NoteLabel"/>
                    </w:rPr>
                    <w:t>i</w:t>
                  </w:r>
                </w:p>
              </w:tc>
              <w:tc>
                <w:tcPr>
                  <w:tcW w:w="588" w:type="pct"/>
                  <w:tcBorders>
                    <w:top w:val="single" w:sz="6" w:space="0" w:color="BFBFBF" w:themeColor="background1" w:themeShade="BF"/>
                    <w:bottom w:val="single" w:sz="6" w:space="0" w:color="BFBFBF" w:themeColor="background1" w:themeShade="BF"/>
                  </w:tcBorders>
                </w:tcPr>
                <w:p w14:paraId="5C87B046" w14:textId="5C08C2FB" w:rsidR="006B2D24" w:rsidRPr="008F61D2" w:rsidRDefault="006B2D24" w:rsidP="003A58D2">
                  <w:pPr>
                    <w:pStyle w:val="TableColumnHeading"/>
                    <w:jc w:val="center"/>
                  </w:pPr>
                  <w:r w:rsidRPr="008F61D2">
                    <w:t>ACT</w:t>
                  </w:r>
                  <w:r w:rsidRPr="008F61D2">
                    <w:rPr>
                      <w:rStyle w:val="NoteLabel"/>
                    </w:rPr>
                    <w:t>j</w:t>
                  </w:r>
                </w:p>
              </w:tc>
              <w:tc>
                <w:tcPr>
                  <w:tcW w:w="583" w:type="pct"/>
                  <w:tcBorders>
                    <w:top w:val="single" w:sz="6" w:space="0" w:color="BFBFBF" w:themeColor="background1" w:themeShade="BF"/>
                    <w:bottom w:val="single" w:sz="6" w:space="0" w:color="BFBFBF" w:themeColor="background1" w:themeShade="BF"/>
                  </w:tcBorders>
                </w:tcPr>
                <w:p w14:paraId="5C8250DC" w14:textId="32AB214A" w:rsidR="006B2D24" w:rsidRPr="008F61D2" w:rsidRDefault="006B2D24" w:rsidP="003A58D2">
                  <w:pPr>
                    <w:pStyle w:val="TableColumnHeading"/>
                    <w:ind w:right="28"/>
                    <w:jc w:val="center"/>
                  </w:pPr>
                  <w:r w:rsidRPr="008F61D2">
                    <w:t>NT</w:t>
                  </w:r>
                  <w:r w:rsidR="0036007A" w:rsidRPr="006C3877">
                    <w:rPr>
                      <w:rStyle w:val="NoteLabel"/>
                    </w:rPr>
                    <w:t>k</w:t>
                  </w:r>
                </w:p>
              </w:tc>
            </w:tr>
            <w:tr w:rsidR="006B2D24" w:rsidRPr="001A49A7" w14:paraId="0C6DA1E8" w14:textId="77777777" w:rsidTr="00BD5C75">
              <w:tc>
                <w:tcPr>
                  <w:tcW w:w="5000" w:type="pct"/>
                  <w:gridSpan w:val="10"/>
                  <w:tcBorders>
                    <w:top w:val="single" w:sz="6" w:space="0" w:color="BFBFBF" w:themeColor="background1" w:themeShade="BF"/>
                  </w:tcBorders>
                </w:tcPr>
                <w:p w14:paraId="4F6C650E" w14:textId="77777777" w:rsidR="006B2D24" w:rsidRPr="006362A9" w:rsidRDefault="006B2D24" w:rsidP="00055DB8">
                  <w:pPr>
                    <w:pStyle w:val="TableUnitsRow"/>
                    <w:ind w:right="28"/>
                    <w:jc w:val="left"/>
                  </w:pPr>
                  <w:r w:rsidRPr="006362A9">
                    <w:rPr>
                      <w:rFonts w:cs="Arial"/>
                      <w:b/>
                      <w:szCs w:val="18"/>
                    </w:rPr>
                    <w:t xml:space="preserve">Eligibility — </w:t>
                  </w:r>
                  <w:r w:rsidRPr="006362A9">
                    <w:rPr>
                      <w:rFonts w:cs="Arial"/>
                      <w:szCs w:val="18"/>
                    </w:rPr>
                    <w:t>Income and other asset limits</w:t>
                  </w:r>
                  <w:r w:rsidRPr="006362A9">
                    <w:rPr>
                      <w:rFonts w:cs="Arial"/>
                      <w:b/>
                      <w:szCs w:val="18"/>
                    </w:rPr>
                    <w:t xml:space="preserve"> </w:t>
                  </w:r>
                  <w:r w:rsidRPr="006362A9">
                    <w:t>vary depending on household type [number of people in the household]</w:t>
                  </w:r>
                </w:p>
              </w:tc>
            </w:tr>
            <w:tr w:rsidR="006B2D24" w:rsidRPr="001A49A7" w14:paraId="28F5932D" w14:textId="77777777" w:rsidTr="00BD5C75">
              <w:tc>
                <w:tcPr>
                  <w:tcW w:w="484" w:type="pct"/>
                </w:tcPr>
                <w:p w14:paraId="64E8F042" w14:textId="77777777" w:rsidR="006B2D24" w:rsidRPr="006362A9" w:rsidRDefault="006B2D24" w:rsidP="00055DB8">
                  <w:pPr>
                    <w:pStyle w:val="TableUnitsRow"/>
                    <w:jc w:val="left"/>
                  </w:pPr>
                  <w:r w:rsidRPr="006362A9">
                    <w:t>Income limit per week ($)</w:t>
                  </w:r>
                </w:p>
              </w:tc>
              <w:tc>
                <w:tcPr>
                  <w:tcW w:w="408" w:type="pct"/>
                  <w:gridSpan w:val="2"/>
                </w:tcPr>
                <w:p w14:paraId="57560FE8" w14:textId="77777777" w:rsidR="006B2D24" w:rsidRPr="006362A9" w:rsidRDefault="006B2D24" w:rsidP="00055DB8">
                  <w:pPr>
                    <w:pStyle w:val="TableUnitsRow"/>
                    <w:jc w:val="center"/>
                  </w:pPr>
                  <w:r w:rsidRPr="006362A9">
                    <w:t xml:space="preserve">655 (gross) </w:t>
                  </w:r>
                  <w:r w:rsidRPr="006362A9">
                    <w:rPr>
                      <w:szCs w:val="18"/>
                    </w:rPr>
                    <w:t>[1]</w:t>
                  </w:r>
                </w:p>
              </w:tc>
              <w:tc>
                <w:tcPr>
                  <w:tcW w:w="587" w:type="pct"/>
                </w:tcPr>
                <w:p w14:paraId="1BAD21C2" w14:textId="71D4E8CE" w:rsidR="006B2D24" w:rsidRPr="006362A9" w:rsidRDefault="00443DD4" w:rsidP="00055DB8">
                  <w:pPr>
                    <w:pStyle w:val="TableUnitsRow"/>
                    <w:jc w:val="center"/>
                  </w:pPr>
                  <w:r w:rsidRPr="006362A9">
                    <w:t>580</w:t>
                  </w:r>
                  <w:r w:rsidR="006B2D24" w:rsidRPr="006362A9">
                    <w:t xml:space="preserve"> </w:t>
                  </w:r>
                  <w:r w:rsidR="006B2D24" w:rsidRPr="006362A9">
                    <w:rPr>
                      <w:szCs w:val="18"/>
                    </w:rPr>
                    <w:t>[1]</w:t>
                  </w:r>
                </w:p>
              </w:tc>
              <w:tc>
                <w:tcPr>
                  <w:tcW w:w="587" w:type="pct"/>
                </w:tcPr>
                <w:p w14:paraId="5BF4C739" w14:textId="77777777" w:rsidR="006B2D24" w:rsidRPr="006362A9" w:rsidRDefault="006B2D24" w:rsidP="00055DB8">
                  <w:pPr>
                    <w:pStyle w:val="TableUnitsRow"/>
                    <w:ind w:right="28"/>
                    <w:jc w:val="center"/>
                  </w:pPr>
                  <w:r w:rsidRPr="006362A9">
                    <w:t xml:space="preserve">609 </w:t>
                  </w:r>
                  <w:r w:rsidRPr="006362A9">
                    <w:rPr>
                      <w:szCs w:val="18"/>
                    </w:rPr>
                    <w:t>[1]</w:t>
                  </w:r>
                </w:p>
              </w:tc>
              <w:tc>
                <w:tcPr>
                  <w:tcW w:w="587" w:type="pct"/>
                </w:tcPr>
                <w:p w14:paraId="588BB4F1" w14:textId="77777777" w:rsidR="006B2D24" w:rsidRPr="006362A9" w:rsidRDefault="006B2D24" w:rsidP="00055DB8">
                  <w:pPr>
                    <w:pStyle w:val="TableUnitsRow"/>
                    <w:ind w:right="28"/>
                    <w:jc w:val="center"/>
                  </w:pPr>
                  <w:r w:rsidRPr="006362A9">
                    <w:t xml:space="preserve">450 </w:t>
                  </w:r>
                  <w:r w:rsidRPr="006362A9">
                    <w:rPr>
                      <w:szCs w:val="18"/>
                    </w:rPr>
                    <w:t>[1]</w:t>
                  </w:r>
                </w:p>
              </w:tc>
              <w:tc>
                <w:tcPr>
                  <w:tcW w:w="588" w:type="pct"/>
                </w:tcPr>
                <w:p w14:paraId="02A95639" w14:textId="629526DB" w:rsidR="006B2D24" w:rsidRPr="006362A9" w:rsidRDefault="007B0C95" w:rsidP="00055DB8">
                  <w:pPr>
                    <w:pStyle w:val="TableUnitsRow"/>
                    <w:ind w:right="28"/>
                    <w:jc w:val="center"/>
                  </w:pPr>
                  <w:r w:rsidRPr="006362A9">
                    <w:t>1033</w:t>
                  </w:r>
                  <w:r w:rsidR="006B2D24" w:rsidRPr="006362A9">
                    <w:t xml:space="preserve"> </w:t>
                  </w:r>
                  <w:r w:rsidR="006B2D24" w:rsidRPr="006362A9">
                    <w:rPr>
                      <w:szCs w:val="18"/>
                    </w:rPr>
                    <w:t>[1]</w:t>
                  </w:r>
                </w:p>
              </w:tc>
              <w:tc>
                <w:tcPr>
                  <w:tcW w:w="588" w:type="pct"/>
                  <w:shd w:val="clear" w:color="auto" w:fill="auto"/>
                </w:tcPr>
                <w:p w14:paraId="355D85ED" w14:textId="77777777" w:rsidR="006B2D24" w:rsidRPr="006362A9" w:rsidRDefault="006B2D24" w:rsidP="00055DB8">
                  <w:pPr>
                    <w:pStyle w:val="TableUnitsRow"/>
                    <w:ind w:right="28"/>
                    <w:jc w:val="center"/>
                  </w:pPr>
                  <w:r w:rsidRPr="006362A9">
                    <w:t xml:space="preserve">561 </w:t>
                  </w:r>
                  <w:r w:rsidRPr="006362A9">
                    <w:rPr>
                      <w:szCs w:val="18"/>
                    </w:rPr>
                    <w:t>[1]</w:t>
                  </w:r>
                </w:p>
              </w:tc>
              <w:tc>
                <w:tcPr>
                  <w:tcW w:w="588" w:type="pct"/>
                  <w:shd w:val="clear" w:color="auto" w:fill="auto"/>
                </w:tcPr>
                <w:p w14:paraId="5FE797EF" w14:textId="38803941" w:rsidR="006B2D24" w:rsidRPr="006362A9" w:rsidRDefault="006B2D24" w:rsidP="00055DB8">
                  <w:pPr>
                    <w:pStyle w:val="TableUnitsRow"/>
                    <w:ind w:right="28"/>
                    <w:jc w:val="center"/>
                  </w:pPr>
                  <w:r w:rsidRPr="006362A9">
                    <w:t>7</w:t>
                  </w:r>
                  <w:r w:rsidR="00FB43AE" w:rsidRPr="006362A9">
                    <w:t>68</w:t>
                  </w:r>
                  <w:r w:rsidRPr="006362A9">
                    <w:t xml:space="preserve"> </w:t>
                  </w:r>
                  <w:r w:rsidRPr="006362A9">
                    <w:rPr>
                      <w:szCs w:val="18"/>
                    </w:rPr>
                    <w:t>[1]</w:t>
                  </w:r>
                </w:p>
              </w:tc>
              <w:tc>
                <w:tcPr>
                  <w:tcW w:w="583" w:type="pct"/>
                  <w:shd w:val="clear" w:color="auto" w:fill="auto"/>
                </w:tcPr>
                <w:p w14:paraId="52BC9D91" w14:textId="4670B40E" w:rsidR="006B2D24" w:rsidRPr="006362A9" w:rsidRDefault="00A1605D" w:rsidP="00055DB8">
                  <w:pPr>
                    <w:pStyle w:val="TableUnitsRow"/>
                    <w:ind w:right="28"/>
                    <w:jc w:val="center"/>
                  </w:pPr>
                  <w:r w:rsidRPr="006362A9">
                    <w:t>830</w:t>
                  </w:r>
                  <w:r w:rsidR="006B2D24" w:rsidRPr="006362A9">
                    <w:t xml:space="preserve"> </w:t>
                  </w:r>
                  <w:r w:rsidR="006B2D24" w:rsidRPr="006362A9">
                    <w:rPr>
                      <w:szCs w:val="18"/>
                    </w:rPr>
                    <w:t>[1]</w:t>
                  </w:r>
                </w:p>
              </w:tc>
            </w:tr>
            <w:tr w:rsidR="006B2D24" w:rsidRPr="001A49A7" w14:paraId="2BDDCA42" w14:textId="77777777" w:rsidTr="4E7DCBFD">
              <w:trPr>
                <w:trHeight w:val="517"/>
              </w:trPr>
              <w:tc>
                <w:tcPr>
                  <w:tcW w:w="549" w:type="pct"/>
                  <w:gridSpan w:val="2"/>
                </w:tcPr>
                <w:p w14:paraId="701BF478" w14:textId="77777777" w:rsidR="006B2D24" w:rsidRPr="006362A9" w:rsidRDefault="006B2D24" w:rsidP="00055DB8">
                  <w:pPr>
                    <w:pStyle w:val="TableBodyText"/>
                    <w:jc w:val="left"/>
                    <w:rPr>
                      <w:szCs w:val="18"/>
                    </w:rPr>
                  </w:pPr>
                  <w:r w:rsidRPr="006362A9">
                    <w:rPr>
                      <w:szCs w:val="18"/>
                    </w:rPr>
                    <w:t>Other asset limits ($)</w:t>
                  </w:r>
                </w:p>
              </w:tc>
              <w:tc>
                <w:tcPr>
                  <w:tcW w:w="343" w:type="pct"/>
                </w:tcPr>
                <w:p w14:paraId="7B7E989A" w14:textId="77777777" w:rsidR="006B2D24" w:rsidRPr="006362A9" w:rsidRDefault="006B2D24" w:rsidP="00055DB8">
                  <w:pPr>
                    <w:pStyle w:val="TableBodyText"/>
                    <w:jc w:val="center"/>
                    <w:rPr>
                      <w:szCs w:val="18"/>
                    </w:rPr>
                  </w:pPr>
                  <w:r w:rsidRPr="006362A9">
                    <w:rPr>
                      <w:szCs w:val="18"/>
                    </w:rPr>
                    <w:t>Nil</w:t>
                  </w:r>
                </w:p>
              </w:tc>
              <w:tc>
                <w:tcPr>
                  <w:tcW w:w="587" w:type="pct"/>
                </w:tcPr>
                <w:p w14:paraId="653750C8" w14:textId="0FF40B18" w:rsidR="006B2D24" w:rsidRPr="006362A9" w:rsidRDefault="005F3EF8" w:rsidP="00055DB8">
                  <w:pPr>
                    <w:pStyle w:val="TableBodyText"/>
                    <w:jc w:val="center"/>
                    <w:rPr>
                      <w:szCs w:val="18"/>
                    </w:rPr>
                  </w:pPr>
                  <w:r w:rsidRPr="006362A9">
                    <w:rPr>
                      <w:szCs w:val="18"/>
                    </w:rPr>
                    <w:t xml:space="preserve">13 699 </w:t>
                  </w:r>
                  <w:r w:rsidR="006B2D24" w:rsidRPr="006362A9">
                    <w:rPr>
                      <w:szCs w:val="18"/>
                    </w:rPr>
                    <w:t>(Priority)</w:t>
                  </w:r>
                </w:p>
                <w:p w14:paraId="42B13346" w14:textId="1A44EA12" w:rsidR="005C1A0F" w:rsidRPr="006362A9" w:rsidRDefault="00AB0FAF" w:rsidP="00055DB8">
                  <w:pPr>
                    <w:pStyle w:val="TableBodyText"/>
                    <w:jc w:val="center"/>
                    <w:rPr>
                      <w:szCs w:val="18"/>
                    </w:rPr>
                  </w:pPr>
                  <w:r w:rsidRPr="006362A9">
                    <w:rPr>
                      <w:szCs w:val="18"/>
                    </w:rPr>
                    <w:t>$34</w:t>
                  </w:r>
                  <w:r w:rsidR="00B16932" w:rsidRPr="006362A9">
                    <w:rPr>
                      <w:szCs w:val="18"/>
                    </w:rPr>
                    <w:t> </w:t>
                  </w:r>
                  <w:r w:rsidRPr="006362A9">
                    <w:rPr>
                      <w:szCs w:val="18"/>
                    </w:rPr>
                    <w:t>656 (</w:t>
                  </w:r>
                  <w:r w:rsidR="00361A0E" w:rsidRPr="006362A9">
                    <w:rPr>
                      <w:szCs w:val="18"/>
                    </w:rPr>
                    <w:t>ROI</w:t>
                  </w:r>
                  <w:r w:rsidRPr="006362A9">
                    <w:rPr>
                      <w:szCs w:val="18"/>
                    </w:rPr>
                    <w:t>)</w:t>
                  </w:r>
                </w:p>
              </w:tc>
              <w:tc>
                <w:tcPr>
                  <w:tcW w:w="587" w:type="pct"/>
                </w:tcPr>
                <w:p w14:paraId="2308CA7D" w14:textId="77777777" w:rsidR="006B2D24" w:rsidRPr="006362A9" w:rsidRDefault="006B2D24" w:rsidP="00055DB8">
                  <w:pPr>
                    <w:pStyle w:val="TableBodyText"/>
                    <w:ind w:right="28"/>
                    <w:jc w:val="center"/>
                    <w:rPr>
                      <w:szCs w:val="18"/>
                    </w:rPr>
                  </w:pPr>
                  <w:r w:rsidRPr="006362A9">
                    <w:rPr>
                      <w:szCs w:val="18"/>
                    </w:rPr>
                    <w:t>116 375 [1]</w:t>
                  </w:r>
                </w:p>
                <w:p w14:paraId="234CF0E2" w14:textId="77777777" w:rsidR="006B2D24" w:rsidRPr="006362A9" w:rsidRDefault="006B2D24" w:rsidP="00055DB8">
                  <w:pPr>
                    <w:pStyle w:val="TableBodyText"/>
                    <w:ind w:right="28"/>
                    <w:jc w:val="center"/>
                    <w:rPr>
                      <w:szCs w:val="18"/>
                    </w:rPr>
                  </w:pPr>
                  <w:r w:rsidRPr="006362A9">
                    <w:rPr>
                      <w:szCs w:val="18"/>
                    </w:rPr>
                    <w:t xml:space="preserve">148 625 [&gt;=2] </w:t>
                  </w:r>
                </w:p>
              </w:tc>
              <w:tc>
                <w:tcPr>
                  <w:tcW w:w="587" w:type="pct"/>
                </w:tcPr>
                <w:p w14:paraId="59C1CEEA" w14:textId="77777777" w:rsidR="006B2D24" w:rsidRPr="006362A9" w:rsidRDefault="006B2D24" w:rsidP="00055DB8">
                  <w:pPr>
                    <w:pStyle w:val="TableBodyText"/>
                    <w:ind w:right="28"/>
                    <w:jc w:val="center"/>
                    <w:rPr>
                      <w:szCs w:val="18"/>
                    </w:rPr>
                  </w:pPr>
                  <w:r w:rsidRPr="006362A9">
                    <w:rPr>
                      <w:szCs w:val="18"/>
                    </w:rPr>
                    <w:t>38 400  [1]</w:t>
                  </w:r>
                </w:p>
              </w:tc>
              <w:tc>
                <w:tcPr>
                  <w:tcW w:w="588" w:type="pct"/>
                  <w:shd w:val="clear" w:color="auto" w:fill="auto"/>
                </w:tcPr>
                <w:p w14:paraId="73999175" w14:textId="77777777" w:rsidR="006B2D24" w:rsidRPr="006362A9" w:rsidRDefault="00CA769F" w:rsidP="00055DB8">
                  <w:pPr>
                    <w:pStyle w:val="TableBodyText"/>
                    <w:ind w:right="28"/>
                    <w:jc w:val="center"/>
                  </w:pPr>
                  <w:r w:rsidRPr="006362A9">
                    <w:rPr>
                      <w:szCs w:val="18"/>
                    </w:rPr>
                    <w:t xml:space="preserve">482 500 </w:t>
                  </w:r>
                  <w:r w:rsidR="006B2D24" w:rsidRPr="006362A9">
                    <w:rPr>
                      <w:szCs w:val="18"/>
                    </w:rPr>
                    <w:t>[1]</w:t>
                  </w:r>
                  <w:r w:rsidR="006B2D24" w:rsidRPr="006362A9">
                    <w:t xml:space="preserve"> </w:t>
                  </w:r>
                </w:p>
                <w:p w14:paraId="7B2BC56A" w14:textId="66BF290B" w:rsidR="00CA769F" w:rsidRPr="006362A9" w:rsidRDefault="003B1C86" w:rsidP="00055DB8">
                  <w:pPr>
                    <w:pStyle w:val="TableBodyText"/>
                    <w:ind w:right="28"/>
                    <w:jc w:val="center"/>
                    <w:rPr>
                      <w:szCs w:val="18"/>
                    </w:rPr>
                  </w:pPr>
                  <w:r w:rsidRPr="006362A9">
                    <w:rPr>
                      <w:szCs w:val="18"/>
                    </w:rPr>
                    <w:t xml:space="preserve">616 000 </w:t>
                  </w:r>
                  <w:r w:rsidR="00CA769F" w:rsidRPr="006362A9">
                    <w:rPr>
                      <w:szCs w:val="18"/>
                    </w:rPr>
                    <w:t>[&gt;=2]</w:t>
                  </w:r>
                </w:p>
              </w:tc>
              <w:tc>
                <w:tcPr>
                  <w:tcW w:w="588" w:type="pct"/>
                </w:tcPr>
                <w:p w14:paraId="59416E9D" w14:textId="77777777" w:rsidR="006B2D24" w:rsidRPr="006362A9" w:rsidRDefault="006B2D24" w:rsidP="00055DB8">
                  <w:pPr>
                    <w:pStyle w:val="TableBodyText"/>
                    <w:ind w:right="28"/>
                    <w:jc w:val="center"/>
                    <w:rPr>
                      <w:szCs w:val="18"/>
                    </w:rPr>
                  </w:pPr>
                  <w:r w:rsidRPr="006362A9">
                    <w:rPr>
                      <w:szCs w:val="18"/>
                    </w:rPr>
                    <w:t>35 000</w:t>
                  </w:r>
                </w:p>
              </w:tc>
              <w:tc>
                <w:tcPr>
                  <w:tcW w:w="588" w:type="pct"/>
                </w:tcPr>
                <w:p w14:paraId="3E3D67A9" w14:textId="77777777" w:rsidR="006B2D24" w:rsidRPr="006362A9" w:rsidRDefault="006B2D24" w:rsidP="00055DB8">
                  <w:pPr>
                    <w:pStyle w:val="TableBodyText"/>
                    <w:ind w:right="28"/>
                    <w:jc w:val="center"/>
                    <w:rPr>
                      <w:szCs w:val="18"/>
                    </w:rPr>
                  </w:pPr>
                  <w:r w:rsidRPr="006362A9">
                    <w:rPr>
                      <w:szCs w:val="18"/>
                    </w:rPr>
                    <w:t>40 000</w:t>
                  </w:r>
                </w:p>
              </w:tc>
              <w:tc>
                <w:tcPr>
                  <w:tcW w:w="583" w:type="pct"/>
                </w:tcPr>
                <w:p w14:paraId="54BE8414" w14:textId="44DCCF67" w:rsidR="006B2D24" w:rsidRPr="006362A9" w:rsidRDefault="00751747" w:rsidP="00055DB8">
                  <w:pPr>
                    <w:pStyle w:val="TableBodyText"/>
                    <w:ind w:right="28"/>
                    <w:jc w:val="center"/>
                    <w:rPr>
                      <w:szCs w:val="18"/>
                    </w:rPr>
                  </w:pPr>
                  <w:r w:rsidRPr="006362A9">
                    <w:rPr>
                      <w:szCs w:val="18"/>
                    </w:rPr>
                    <w:t>71 426</w:t>
                  </w:r>
                  <w:r w:rsidR="006B2D24" w:rsidRPr="006362A9">
                    <w:rPr>
                      <w:szCs w:val="18"/>
                    </w:rPr>
                    <w:t xml:space="preserve">  [1]</w:t>
                  </w:r>
                </w:p>
              </w:tc>
            </w:tr>
            <w:tr w:rsidR="006B2D24" w:rsidRPr="001A49A7" w14:paraId="796659F7" w14:textId="77777777" w:rsidTr="4E7DCBFD">
              <w:tc>
                <w:tcPr>
                  <w:tcW w:w="484" w:type="pct"/>
                  <w:shd w:val="clear" w:color="auto" w:fill="auto"/>
                </w:tcPr>
                <w:p w14:paraId="76A51B64" w14:textId="77777777" w:rsidR="006B2D24" w:rsidRPr="006362A9" w:rsidRDefault="006B2D24" w:rsidP="00055DB8">
                  <w:pPr>
                    <w:pStyle w:val="TableBodyText"/>
                    <w:jc w:val="left"/>
                  </w:pPr>
                  <w:r w:rsidRPr="006362A9">
                    <w:t>Minimum age (years)</w:t>
                  </w:r>
                </w:p>
              </w:tc>
              <w:tc>
                <w:tcPr>
                  <w:tcW w:w="408" w:type="pct"/>
                  <w:gridSpan w:val="2"/>
                </w:tcPr>
                <w:p w14:paraId="3718CE3B" w14:textId="77777777" w:rsidR="006B2D24" w:rsidRPr="006362A9" w:rsidRDefault="006B2D24" w:rsidP="00055DB8">
                  <w:pPr>
                    <w:pStyle w:val="TableBodyText"/>
                    <w:jc w:val="center"/>
                  </w:pPr>
                  <w:r w:rsidRPr="006362A9">
                    <w:t>18</w:t>
                  </w:r>
                </w:p>
              </w:tc>
              <w:tc>
                <w:tcPr>
                  <w:tcW w:w="587" w:type="pct"/>
                  <w:shd w:val="clear" w:color="auto" w:fill="auto"/>
                </w:tcPr>
                <w:p w14:paraId="4DAC6D7F" w14:textId="77777777" w:rsidR="006B2D24" w:rsidRPr="006362A9" w:rsidRDefault="006B2D24" w:rsidP="00055DB8">
                  <w:pPr>
                    <w:pStyle w:val="TableBodyText"/>
                    <w:jc w:val="center"/>
                  </w:pPr>
                  <w:r w:rsidRPr="006362A9">
                    <w:t>15</w:t>
                  </w:r>
                </w:p>
              </w:tc>
              <w:tc>
                <w:tcPr>
                  <w:tcW w:w="587" w:type="pct"/>
                  <w:shd w:val="clear" w:color="auto" w:fill="auto"/>
                </w:tcPr>
                <w:p w14:paraId="6AF18696" w14:textId="77777777" w:rsidR="006B2D24" w:rsidRPr="006362A9" w:rsidRDefault="006B2D24" w:rsidP="00055DB8">
                  <w:pPr>
                    <w:pStyle w:val="TableBodyText"/>
                    <w:ind w:right="28"/>
                    <w:jc w:val="center"/>
                  </w:pPr>
                  <w:r w:rsidRPr="006362A9">
                    <w:t>None</w:t>
                  </w:r>
                </w:p>
              </w:tc>
              <w:tc>
                <w:tcPr>
                  <w:tcW w:w="587" w:type="pct"/>
                </w:tcPr>
                <w:p w14:paraId="4EC52672" w14:textId="77777777" w:rsidR="006B2D24" w:rsidRPr="006362A9" w:rsidRDefault="006B2D24" w:rsidP="00055DB8">
                  <w:pPr>
                    <w:pStyle w:val="TableBodyText"/>
                    <w:ind w:right="28"/>
                    <w:jc w:val="center"/>
                  </w:pPr>
                  <w:r w:rsidRPr="006362A9">
                    <w:t>16</w:t>
                  </w:r>
                </w:p>
              </w:tc>
              <w:tc>
                <w:tcPr>
                  <w:tcW w:w="588" w:type="pct"/>
                </w:tcPr>
                <w:p w14:paraId="7C60CA4A" w14:textId="77777777" w:rsidR="006B2D24" w:rsidRPr="006362A9" w:rsidRDefault="006B2D24" w:rsidP="00055DB8">
                  <w:pPr>
                    <w:pStyle w:val="TableBodyText"/>
                    <w:ind w:right="28"/>
                    <w:jc w:val="center"/>
                  </w:pPr>
                  <w:r w:rsidRPr="006362A9">
                    <w:t>None</w:t>
                  </w:r>
                </w:p>
              </w:tc>
              <w:tc>
                <w:tcPr>
                  <w:tcW w:w="588" w:type="pct"/>
                </w:tcPr>
                <w:p w14:paraId="283D61C9" w14:textId="77777777" w:rsidR="006B2D24" w:rsidRPr="006362A9" w:rsidRDefault="006B2D24" w:rsidP="00055DB8">
                  <w:pPr>
                    <w:pStyle w:val="TableBodyText"/>
                    <w:ind w:right="28"/>
                    <w:jc w:val="center"/>
                  </w:pPr>
                  <w:r w:rsidRPr="006362A9">
                    <w:t>16</w:t>
                  </w:r>
                </w:p>
              </w:tc>
              <w:tc>
                <w:tcPr>
                  <w:tcW w:w="588" w:type="pct"/>
                </w:tcPr>
                <w:p w14:paraId="55DD1AE2" w14:textId="77777777" w:rsidR="006B2D24" w:rsidRPr="006362A9" w:rsidRDefault="006B2D24" w:rsidP="00055DB8">
                  <w:pPr>
                    <w:pStyle w:val="TableBodyText"/>
                    <w:ind w:right="28"/>
                    <w:jc w:val="center"/>
                  </w:pPr>
                  <w:r w:rsidRPr="006362A9">
                    <w:t>16</w:t>
                  </w:r>
                </w:p>
              </w:tc>
              <w:tc>
                <w:tcPr>
                  <w:tcW w:w="583" w:type="pct"/>
                </w:tcPr>
                <w:p w14:paraId="1E5D3927" w14:textId="77777777" w:rsidR="006B2D24" w:rsidRPr="006362A9" w:rsidRDefault="006B2D24" w:rsidP="00055DB8">
                  <w:pPr>
                    <w:pStyle w:val="TableBodyText"/>
                    <w:ind w:right="28"/>
                    <w:jc w:val="center"/>
                  </w:pPr>
                  <w:r w:rsidRPr="006362A9">
                    <w:t>16</w:t>
                  </w:r>
                </w:p>
              </w:tc>
            </w:tr>
            <w:tr w:rsidR="006B2D24" w:rsidRPr="001A49A7" w14:paraId="7EFE3E6F" w14:textId="77777777" w:rsidTr="4E7DCBFD">
              <w:trPr>
                <w:trHeight w:val="580"/>
              </w:trPr>
              <w:tc>
                <w:tcPr>
                  <w:tcW w:w="484" w:type="pct"/>
                  <w:shd w:val="clear" w:color="auto" w:fill="auto"/>
                </w:tcPr>
                <w:p w14:paraId="66965FE6" w14:textId="77777777" w:rsidR="006B2D24" w:rsidRPr="006362A9" w:rsidRDefault="006B2D24" w:rsidP="00055DB8">
                  <w:pPr>
                    <w:pStyle w:val="TableBodyText"/>
                    <w:jc w:val="left"/>
                    <w:rPr>
                      <w:b/>
                      <w:szCs w:val="18"/>
                    </w:rPr>
                  </w:pPr>
                  <w:r w:rsidRPr="006362A9">
                    <w:rPr>
                      <w:b/>
                      <w:szCs w:val="18"/>
                    </w:rPr>
                    <w:t>Waiting list:</w:t>
                  </w:r>
                </w:p>
                <w:p w14:paraId="31E9EE78" w14:textId="77777777" w:rsidR="006B2D24" w:rsidRPr="006362A9" w:rsidRDefault="006B2D24" w:rsidP="00055DB8">
                  <w:pPr>
                    <w:pStyle w:val="TableBodyText"/>
                    <w:jc w:val="left"/>
                    <w:rPr>
                      <w:b/>
                      <w:szCs w:val="18"/>
                    </w:rPr>
                  </w:pPr>
                  <w:r w:rsidRPr="006362A9">
                    <w:rPr>
                      <w:szCs w:val="18"/>
                    </w:rPr>
                    <w:t>Segment by</w:t>
                  </w:r>
                  <w:r w:rsidRPr="006362A9">
                    <w:rPr>
                      <w:b/>
                      <w:szCs w:val="18"/>
                    </w:rPr>
                    <w:tab/>
                  </w:r>
                </w:p>
              </w:tc>
              <w:tc>
                <w:tcPr>
                  <w:tcW w:w="408" w:type="pct"/>
                  <w:gridSpan w:val="2"/>
                </w:tcPr>
                <w:p w14:paraId="766E4B5B" w14:textId="77777777" w:rsidR="006B2D24" w:rsidRPr="006362A9" w:rsidRDefault="006B2D24" w:rsidP="00055DB8">
                  <w:pPr>
                    <w:pStyle w:val="TableBodyText"/>
                    <w:jc w:val="center"/>
                    <w:rPr>
                      <w:szCs w:val="18"/>
                    </w:rPr>
                  </w:pPr>
                  <w:r w:rsidRPr="006362A9">
                    <w:rPr>
                      <w:szCs w:val="18"/>
                    </w:rPr>
                    <w:t>Single list of approved clients</w:t>
                  </w:r>
                </w:p>
              </w:tc>
              <w:tc>
                <w:tcPr>
                  <w:tcW w:w="587" w:type="pct"/>
                  <w:shd w:val="clear" w:color="auto" w:fill="auto"/>
                </w:tcPr>
                <w:p w14:paraId="004DD321" w14:textId="77777777" w:rsidR="006B2D24" w:rsidRPr="006362A9" w:rsidRDefault="006B2D24" w:rsidP="00055DB8">
                  <w:pPr>
                    <w:pStyle w:val="TableBodyText"/>
                    <w:jc w:val="center"/>
                    <w:rPr>
                      <w:szCs w:val="18"/>
                    </w:rPr>
                  </w:pPr>
                  <w:r w:rsidRPr="006362A9">
                    <w:rPr>
                      <w:szCs w:val="18"/>
                    </w:rPr>
                    <w:t>Six priority segments and a register of interest</w:t>
                  </w:r>
                </w:p>
              </w:tc>
              <w:tc>
                <w:tcPr>
                  <w:tcW w:w="587" w:type="pct"/>
                  <w:shd w:val="clear" w:color="auto" w:fill="auto"/>
                </w:tcPr>
                <w:p w14:paraId="44A95036" w14:textId="77777777" w:rsidR="006B2D24" w:rsidRPr="006362A9" w:rsidRDefault="006B2D24" w:rsidP="00055DB8">
                  <w:pPr>
                    <w:pStyle w:val="TableBodyText"/>
                    <w:ind w:right="28"/>
                    <w:jc w:val="center"/>
                    <w:rPr>
                      <w:szCs w:val="18"/>
                    </w:rPr>
                  </w:pPr>
                  <w:r w:rsidRPr="006362A9">
                    <w:rPr>
                      <w:szCs w:val="18"/>
                    </w:rPr>
                    <w:t>Need (four</w:t>
                  </w:r>
                  <w:r w:rsidRPr="006362A9">
                    <w:rPr>
                      <w:szCs w:val="18"/>
                      <w:shd w:val="clear" w:color="auto" w:fill="FFFF00"/>
                    </w:rPr>
                    <w:t xml:space="preserve"> </w:t>
                  </w:r>
                  <w:r w:rsidRPr="006362A9">
                    <w:rPr>
                      <w:szCs w:val="18"/>
                    </w:rPr>
                    <w:t>segments)</w:t>
                  </w:r>
                </w:p>
              </w:tc>
              <w:tc>
                <w:tcPr>
                  <w:tcW w:w="587" w:type="pct"/>
                </w:tcPr>
                <w:p w14:paraId="2E76FC70" w14:textId="77777777" w:rsidR="006B2D24" w:rsidRPr="006362A9" w:rsidRDefault="006B2D24" w:rsidP="00055DB8">
                  <w:pPr>
                    <w:pStyle w:val="TableBodyText"/>
                    <w:ind w:right="28"/>
                    <w:jc w:val="center"/>
                    <w:rPr>
                      <w:szCs w:val="18"/>
                    </w:rPr>
                  </w:pPr>
                  <w:r w:rsidRPr="006362A9">
                    <w:rPr>
                      <w:rFonts w:cs="Arial"/>
                      <w:szCs w:val="18"/>
                    </w:rPr>
                    <w:t>Need (four segments)</w:t>
                  </w:r>
                </w:p>
              </w:tc>
              <w:tc>
                <w:tcPr>
                  <w:tcW w:w="588" w:type="pct"/>
                </w:tcPr>
                <w:p w14:paraId="25BF2E3B" w14:textId="77777777" w:rsidR="006B2D24" w:rsidRPr="006362A9" w:rsidRDefault="006B2D24" w:rsidP="00055DB8">
                  <w:pPr>
                    <w:pStyle w:val="TableBodyText"/>
                    <w:ind w:right="28"/>
                    <w:jc w:val="center"/>
                    <w:rPr>
                      <w:szCs w:val="18"/>
                    </w:rPr>
                  </w:pPr>
                  <w:r w:rsidRPr="006362A9">
                    <w:rPr>
                      <w:rFonts w:cs="Arial"/>
                      <w:szCs w:val="18"/>
                    </w:rPr>
                    <w:t>Need (four segments)</w:t>
                  </w:r>
                </w:p>
              </w:tc>
              <w:tc>
                <w:tcPr>
                  <w:tcW w:w="588" w:type="pct"/>
                </w:tcPr>
                <w:p w14:paraId="325D433C" w14:textId="77777777" w:rsidR="006B2D24" w:rsidRPr="006362A9" w:rsidRDefault="006B2D24" w:rsidP="00055DB8">
                  <w:pPr>
                    <w:pStyle w:val="TableBodyText"/>
                    <w:ind w:right="28"/>
                    <w:jc w:val="center"/>
                    <w:rPr>
                      <w:szCs w:val="18"/>
                    </w:rPr>
                  </w:pPr>
                  <w:r w:rsidRPr="006362A9">
                    <w:rPr>
                      <w:rFonts w:cs="Arial"/>
                      <w:szCs w:val="18"/>
                    </w:rPr>
                    <w:t>Three levels: Priority (Exiting); Priority; General</w:t>
                  </w:r>
                </w:p>
              </w:tc>
              <w:tc>
                <w:tcPr>
                  <w:tcW w:w="588" w:type="pct"/>
                </w:tcPr>
                <w:p w14:paraId="3EE9184F" w14:textId="77777777" w:rsidR="006B2D24" w:rsidRPr="006362A9" w:rsidRDefault="006B2D24" w:rsidP="00055DB8">
                  <w:pPr>
                    <w:pStyle w:val="TableBodyText"/>
                    <w:ind w:right="28"/>
                    <w:jc w:val="center"/>
                    <w:rPr>
                      <w:szCs w:val="18"/>
                    </w:rPr>
                  </w:pPr>
                  <w:r w:rsidRPr="006362A9">
                    <w:rPr>
                      <w:rFonts w:cs="Arial"/>
                      <w:szCs w:val="18"/>
                    </w:rPr>
                    <w:t>Need (three segments)</w:t>
                  </w:r>
                </w:p>
              </w:tc>
              <w:tc>
                <w:tcPr>
                  <w:tcW w:w="583" w:type="pct"/>
                </w:tcPr>
                <w:p w14:paraId="0F565B6E" w14:textId="77777777" w:rsidR="006B2D24" w:rsidRPr="006362A9" w:rsidRDefault="006B2D24" w:rsidP="00055DB8">
                  <w:pPr>
                    <w:pStyle w:val="TableBodyText"/>
                    <w:ind w:right="28"/>
                    <w:jc w:val="center"/>
                    <w:rPr>
                      <w:szCs w:val="18"/>
                    </w:rPr>
                  </w:pPr>
                  <w:r w:rsidRPr="006362A9">
                    <w:rPr>
                      <w:rFonts w:cs="Arial"/>
                      <w:szCs w:val="18"/>
                    </w:rPr>
                    <w:t>Two segments: Priority; General.</w:t>
                  </w:r>
                </w:p>
              </w:tc>
            </w:tr>
            <w:tr w:rsidR="006B2D24" w:rsidRPr="001A49A7" w14:paraId="2841B39B" w14:textId="77777777" w:rsidTr="4E7DCBFD">
              <w:tc>
                <w:tcPr>
                  <w:tcW w:w="484" w:type="pct"/>
                  <w:shd w:val="clear" w:color="auto" w:fill="auto"/>
                </w:tcPr>
                <w:p w14:paraId="7AAE205B" w14:textId="77777777" w:rsidR="006B2D24" w:rsidRPr="006362A9" w:rsidRDefault="006B2D24" w:rsidP="00055DB8">
                  <w:pPr>
                    <w:pStyle w:val="TableBodyText"/>
                    <w:jc w:val="left"/>
                    <w:rPr>
                      <w:b/>
                    </w:rPr>
                  </w:pPr>
                  <w:r w:rsidRPr="006362A9">
                    <w:rPr>
                      <w:b/>
                    </w:rPr>
                    <w:t>Tenure</w:t>
                  </w:r>
                </w:p>
              </w:tc>
              <w:tc>
                <w:tcPr>
                  <w:tcW w:w="4516" w:type="pct"/>
                  <w:gridSpan w:val="9"/>
                </w:tcPr>
                <w:p w14:paraId="051C42F7" w14:textId="5E31CBFE" w:rsidR="006B2D24" w:rsidRPr="006362A9" w:rsidRDefault="00CD3701" w:rsidP="00055DB8">
                  <w:pPr>
                    <w:pStyle w:val="TableBodyText"/>
                    <w:ind w:right="28"/>
                    <w:jc w:val="center"/>
                  </w:pPr>
                  <w:r>
                    <w:t>`</w:t>
                  </w:r>
                </w:p>
              </w:tc>
            </w:tr>
            <w:tr w:rsidR="006B2D24" w:rsidRPr="001A49A7" w14:paraId="01D4B5B9" w14:textId="77777777" w:rsidTr="4E7DCBFD">
              <w:tc>
                <w:tcPr>
                  <w:tcW w:w="484" w:type="pct"/>
                  <w:shd w:val="clear" w:color="auto" w:fill="auto"/>
                </w:tcPr>
                <w:p w14:paraId="7B940BC9" w14:textId="77777777" w:rsidR="006B2D24" w:rsidRPr="006362A9" w:rsidRDefault="006B2D24" w:rsidP="00055DB8">
                  <w:pPr>
                    <w:pStyle w:val="TableBodyText"/>
                    <w:jc w:val="left"/>
                  </w:pPr>
                  <w:r w:rsidRPr="006362A9">
                    <w:t>Probation period</w:t>
                  </w:r>
                </w:p>
              </w:tc>
              <w:tc>
                <w:tcPr>
                  <w:tcW w:w="408" w:type="pct"/>
                  <w:gridSpan w:val="2"/>
                </w:tcPr>
                <w:p w14:paraId="79950CFC" w14:textId="77777777" w:rsidR="006B2D24" w:rsidRPr="006362A9" w:rsidRDefault="006B2D24" w:rsidP="00055DB8">
                  <w:pPr>
                    <w:pStyle w:val="TableBodyText"/>
                    <w:jc w:val="center"/>
                  </w:pPr>
                  <w:r w:rsidRPr="006362A9">
                    <w:t>12 months</w:t>
                  </w:r>
                </w:p>
              </w:tc>
              <w:tc>
                <w:tcPr>
                  <w:tcW w:w="587" w:type="pct"/>
                  <w:shd w:val="clear" w:color="auto" w:fill="auto"/>
                </w:tcPr>
                <w:p w14:paraId="66202032" w14:textId="77777777" w:rsidR="006B2D24" w:rsidRPr="006362A9" w:rsidRDefault="006B2D24" w:rsidP="00055DB8">
                  <w:pPr>
                    <w:pStyle w:val="TableBodyText"/>
                    <w:jc w:val="center"/>
                  </w:pPr>
                  <w:r w:rsidRPr="006362A9">
                    <w:t>None</w:t>
                  </w:r>
                </w:p>
              </w:tc>
              <w:tc>
                <w:tcPr>
                  <w:tcW w:w="587" w:type="pct"/>
                  <w:shd w:val="clear" w:color="auto" w:fill="auto"/>
                </w:tcPr>
                <w:p w14:paraId="798019B8" w14:textId="77777777" w:rsidR="006B2D24" w:rsidRPr="006362A9" w:rsidRDefault="006B2D24" w:rsidP="00055DB8">
                  <w:pPr>
                    <w:pStyle w:val="TableBodyText"/>
                    <w:ind w:right="28"/>
                    <w:jc w:val="center"/>
                  </w:pPr>
                  <w:r w:rsidRPr="006362A9">
                    <w:t>None</w:t>
                  </w:r>
                </w:p>
              </w:tc>
              <w:tc>
                <w:tcPr>
                  <w:tcW w:w="587" w:type="pct"/>
                </w:tcPr>
                <w:p w14:paraId="426795D7" w14:textId="77777777" w:rsidR="006B2D24" w:rsidRPr="006362A9" w:rsidRDefault="006B2D24" w:rsidP="00055DB8">
                  <w:pPr>
                    <w:pStyle w:val="TableBodyText"/>
                    <w:ind w:right="28"/>
                    <w:jc w:val="center"/>
                  </w:pPr>
                  <w:r w:rsidRPr="006362A9">
                    <w:t>None</w:t>
                  </w:r>
                </w:p>
              </w:tc>
              <w:tc>
                <w:tcPr>
                  <w:tcW w:w="588" w:type="pct"/>
                </w:tcPr>
                <w:p w14:paraId="1AEC2576" w14:textId="77777777" w:rsidR="006B2D24" w:rsidRPr="006362A9" w:rsidRDefault="006B2D24" w:rsidP="00055DB8">
                  <w:pPr>
                    <w:pStyle w:val="TableBodyText"/>
                    <w:ind w:right="28"/>
                    <w:jc w:val="center"/>
                  </w:pPr>
                  <w:r w:rsidRPr="006362A9">
                    <w:t>12 months</w:t>
                  </w:r>
                </w:p>
              </w:tc>
              <w:tc>
                <w:tcPr>
                  <w:tcW w:w="588" w:type="pct"/>
                </w:tcPr>
                <w:p w14:paraId="7065D6DD" w14:textId="77777777" w:rsidR="006B2D24" w:rsidRPr="006362A9" w:rsidRDefault="006B2D24" w:rsidP="00055DB8">
                  <w:pPr>
                    <w:pStyle w:val="TableBodyText"/>
                    <w:ind w:right="28"/>
                    <w:jc w:val="center"/>
                  </w:pPr>
                  <w:r w:rsidRPr="006362A9">
                    <w:t>6 months</w:t>
                  </w:r>
                </w:p>
              </w:tc>
              <w:tc>
                <w:tcPr>
                  <w:tcW w:w="588" w:type="pct"/>
                </w:tcPr>
                <w:p w14:paraId="0DF0C291" w14:textId="77777777" w:rsidR="006B2D24" w:rsidRPr="006362A9" w:rsidRDefault="006B2D24" w:rsidP="00055DB8">
                  <w:pPr>
                    <w:pStyle w:val="TableBodyText"/>
                    <w:ind w:right="28"/>
                    <w:jc w:val="center"/>
                  </w:pPr>
                  <w:r w:rsidRPr="006362A9">
                    <w:t>None</w:t>
                  </w:r>
                </w:p>
              </w:tc>
              <w:tc>
                <w:tcPr>
                  <w:tcW w:w="583" w:type="pct"/>
                </w:tcPr>
                <w:p w14:paraId="6864E5E7" w14:textId="77777777" w:rsidR="006B2D24" w:rsidRPr="006362A9" w:rsidRDefault="006B2D24" w:rsidP="00055DB8">
                  <w:pPr>
                    <w:pStyle w:val="TableBodyText"/>
                    <w:ind w:right="28"/>
                    <w:jc w:val="center"/>
                  </w:pPr>
                  <w:r w:rsidRPr="006362A9">
                    <w:t>6 months</w:t>
                  </w:r>
                </w:p>
              </w:tc>
            </w:tr>
            <w:tr w:rsidR="006B2D24" w:rsidRPr="001A49A7" w14:paraId="242270D8" w14:textId="77777777" w:rsidTr="4E7DCBFD">
              <w:tc>
                <w:tcPr>
                  <w:tcW w:w="484" w:type="pct"/>
                  <w:shd w:val="clear" w:color="auto" w:fill="auto"/>
                </w:tcPr>
                <w:p w14:paraId="584C35C6" w14:textId="77777777" w:rsidR="006B2D24" w:rsidRPr="006362A9" w:rsidRDefault="006B2D24" w:rsidP="00055DB8">
                  <w:pPr>
                    <w:pStyle w:val="TableBodyText"/>
                    <w:jc w:val="left"/>
                  </w:pPr>
                  <w:r w:rsidRPr="006362A9">
                    <w:t>Fixed term</w:t>
                  </w:r>
                </w:p>
              </w:tc>
              <w:tc>
                <w:tcPr>
                  <w:tcW w:w="408" w:type="pct"/>
                  <w:gridSpan w:val="2"/>
                </w:tcPr>
                <w:p w14:paraId="7EB7D647" w14:textId="77777777" w:rsidR="006B2D24" w:rsidRPr="006362A9" w:rsidRDefault="006B2D24" w:rsidP="00055DB8">
                  <w:pPr>
                    <w:pStyle w:val="TableBodyText"/>
                    <w:jc w:val="center"/>
                  </w:pPr>
                  <w:r w:rsidRPr="006362A9">
                    <w:t>2, 5 or 10 years</w:t>
                  </w:r>
                </w:p>
              </w:tc>
              <w:tc>
                <w:tcPr>
                  <w:tcW w:w="587" w:type="pct"/>
                  <w:shd w:val="clear" w:color="auto" w:fill="auto"/>
                </w:tcPr>
                <w:p w14:paraId="6DA46178" w14:textId="77777777" w:rsidR="006B2D24" w:rsidRPr="006362A9" w:rsidRDefault="006B2D24" w:rsidP="00055DB8">
                  <w:pPr>
                    <w:pStyle w:val="TableBodyText"/>
                    <w:jc w:val="center"/>
                  </w:pPr>
                  <w:r w:rsidRPr="006362A9">
                    <w:t>None</w:t>
                  </w:r>
                </w:p>
              </w:tc>
              <w:tc>
                <w:tcPr>
                  <w:tcW w:w="587" w:type="pct"/>
                  <w:shd w:val="clear" w:color="auto" w:fill="auto"/>
                </w:tcPr>
                <w:p w14:paraId="563C2636" w14:textId="77777777" w:rsidR="006B2D24" w:rsidRPr="006362A9" w:rsidRDefault="006B2D24" w:rsidP="00055DB8">
                  <w:pPr>
                    <w:pStyle w:val="TableBodyText"/>
                    <w:ind w:right="28"/>
                    <w:jc w:val="center"/>
                  </w:pPr>
                  <w:r w:rsidRPr="006362A9">
                    <w:t>3 years (new</w:t>
                  </w:r>
                  <w:r w:rsidRPr="006362A9">
                    <w:rPr>
                      <w:shd w:val="clear" w:color="auto" w:fill="FFFF00"/>
                    </w:rPr>
                    <w:t xml:space="preserve"> </w:t>
                  </w:r>
                  <w:r w:rsidRPr="006362A9">
                    <w:t>tenancies)</w:t>
                  </w:r>
                </w:p>
              </w:tc>
              <w:tc>
                <w:tcPr>
                  <w:tcW w:w="587" w:type="pct"/>
                </w:tcPr>
                <w:p w14:paraId="5C92DBED" w14:textId="77777777" w:rsidR="006B2D24" w:rsidRPr="006362A9" w:rsidRDefault="006B2D24" w:rsidP="00055DB8">
                  <w:pPr>
                    <w:pStyle w:val="TableBodyText"/>
                    <w:ind w:right="28"/>
                    <w:jc w:val="center"/>
                  </w:pPr>
                  <w:r w:rsidRPr="006362A9">
                    <w:t>3 and 6 months</w:t>
                  </w:r>
                </w:p>
              </w:tc>
              <w:tc>
                <w:tcPr>
                  <w:tcW w:w="588" w:type="pct"/>
                </w:tcPr>
                <w:p w14:paraId="090C0C09" w14:textId="77777777" w:rsidR="006B2D24" w:rsidRPr="006362A9" w:rsidRDefault="006B2D24" w:rsidP="00055DB8">
                  <w:pPr>
                    <w:pStyle w:val="TableBodyText"/>
                    <w:ind w:right="28"/>
                    <w:jc w:val="center"/>
                  </w:pPr>
                  <w:r w:rsidRPr="006362A9">
                    <w:t>1, 2, 5 and 10 years</w:t>
                  </w:r>
                </w:p>
              </w:tc>
              <w:tc>
                <w:tcPr>
                  <w:tcW w:w="588" w:type="pct"/>
                </w:tcPr>
                <w:p w14:paraId="2E366F31" w14:textId="45A50164" w:rsidR="006B2D24" w:rsidRPr="006362A9" w:rsidRDefault="006B2D24" w:rsidP="00055DB8">
                  <w:pPr>
                    <w:pStyle w:val="TableBodyText"/>
                    <w:ind w:right="28"/>
                    <w:jc w:val="center"/>
                  </w:pPr>
                  <w:r w:rsidRPr="006362A9">
                    <w:t xml:space="preserve">Variable length </w:t>
                  </w:r>
                  <w:r w:rsidR="003C71B7">
                    <w:br/>
                  </w:r>
                  <w:r w:rsidRPr="000D0CDB">
                    <w:t>(</w:t>
                  </w:r>
                  <w:r w:rsidR="00E91D80" w:rsidRPr="000D0CDB">
                    <w:t>2–4</w:t>
                  </w:r>
                  <w:r w:rsidRPr="000D0CDB">
                    <w:t xml:space="preserve"> years)</w:t>
                  </w:r>
                </w:p>
              </w:tc>
              <w:tc>
                <w:tcPr>
                  <w:tcW w:w="588" w:type="pct"/>
                </w:tcPr>
                <w:p w14:paraId="79546DEF" w14:textId="77777777" w:rsidR="006B2D24" w:rsidRPr="006362A9" w:rsidRDefault="006B2D24" w:rsidP="00055DB8">
                  <w:pPr>
                    <w:pStyle w:val="TableBodyText"/>
                    <w:ind w:right="28"/>
                    <w:jc w:val="center"/>
                  </w:pPr>
                  <w:r w:rsidRPr="006362A9">
                    <w:t>Apply in specific circumstances</w:t>
                  </w:r>
                </w:p>
              </w:tc>
              <w:tc>
                <w:tcPr>
                  <w:tcW w:w="583" w:type="pct"/>
                </w:tcPr>
                <w:p w14:paraId="370A6070" w14:textId="3ED019DE" w:rsidR="006B2D24" w:rsidRPr="006362A9" w:rsidRDefault="00F2630B" w:rsidP="00055DB8">
                  <w:pPr>
                    <w:pStyle w:val="TableBodyText"/>
                    <w:ind w:right="28"/>
                    <w:jc w:val="center"/>
                  </w:pPr>
                  <w:r w:rsidRPr="006362A9">
                    <w:t>Offered as a probationary agreement only</w:t>
                  </w:r>
                </w:p>
              </w:tc>
            </w:tr>
            <w:tr w:rsidR="006B2D24" w:rsidRPr="001A49A7" w14:paraId="4E82EBC2" w14:textId="77777777" w:rsidTr="4E7DCBFD">
              <w:tc>
                <w:tcPr>
                  <w:tcW w:w="484" w:type="pct"/>
                  <w:shd w:val="clear" w:color="auto" w:fill="auto"/>
                </w:tcPr>
                <w:p w14:paraId="584FE53C" w14:textId="77777777" w:rsidR="006B2D24" w:rsidRPr="001A49A7" w:rsidRDefault="006B2D24" w:rsidP="00055DB8">
                  <w:pPr>
                    <w:pStyle w:val="TableBodyText"/>
                    <w:jc w:val="left"/>
                  </w:pPr>
                  <w:r w:rsidRPr="001A49A7">
                    <w:t>Ongoing</w:t>
                  </w:r>
                </w:p>
              </w:tc>
              <w:tc>
                <w:tcPr>
                  <w:tcW w:w="408" w:type="pct"/>
                  <w:gridSpan w:val="2"/>
                </w:tcPr>
                <w:p w14:paraId="0C1A15AD" w14:textId="77777777" w:rsidR="006B2D24" w:rsidRPr="001A49A7" w:rsidRDefault="006B2D24" w:rsidP="00055DB8">
                  <w:pPr>
                    <w:pStyle w:val="TableBodyText"/>
                    <w:jc w:val="center"/>
                  </w:pPr>
                  <w:r w:rsidRPr="001A49A7">
                    <w:t>Tenants housed before 1 July 2005</w:t>
                  </w:r>
                </w:p>
              </w:tc>
              <w:tc>
                <w:tcPr>
                  <w:tcW w:w="587" w:type="pct"/>
                  <w:shd w:val="clear" w:color="auto" w:fill="auto"/>
                </w:tcPr>
                <w:p w14:paraId="5FBE5062" w14:textId="77777777" w:rsidR="006B2D24" w:rsidRPr="001A49A7" w:rsidRDefault="006B2D24" w:rsidP="00055DB8">
                  <w:pPr>
                    <w:pStyle w:val="TableBodyText"/>
                    <w:jc w:val="center"/>
                  </w:pPr>
                  <w:r w:rsidRPr="001A49A7">
                    <w:t>Yes</w:t>
                  </w:r>
                </w:p>
              </w:tc>
              <w:tc>
                <w:tcPr>
                  <w:tcW w:w="587" w:type="pct"/>
                  <w:shd w:val="clear" w:color="auto" w:fill="auto"/>
                </w:tcPr>
                <w:p w14:paraId="231EA4D5" w14:textId="77777777" w:rsidR="006B2D24" w:rsidRPr="001A49A7" w:rsidRDefault="006B2D24" w:rsidP="00055DB8">
                  <w:pPr>
                    <w:pStyle w:val="TableBodyText"/>
                    <w:ind w:right="28"/>
                    <w:jc w:val="center"/>
                  </w:pPr>
                  <w:r w:rsidRPr="001A49A7">
                    <w:t>Subject to review</w:t>
                  </w:r>
                </w:p>
              </w:tc>
              <w:tc>
                <w:tcPr>
                  <w:tcW w:w="587" w:type="pct"/>
                </w:tcPr>
                <w:p w14:paraId="69A64210" w14:textId="77777777" w:rsidR="006B2D24" w:rsidRPr="001A49A7" w:rsidRDefault="006B2D24" w:rsidP="00055DB8">
                  <w:pPr>
                    <w:pStyle w:val="TableBodyText"/>
                    <w:ind w:right="28"/>
                    <w:jc w:val="center"/>
                  </w:pPr>
                  <w:r w:rsidRPr="001A49A7">
                    <w:t>Ongoing</w:t>
                  </w:r>
                </w:p>
              </w:tc>
              <w:tc>
                <w:tcPr>
                  <w:tcW w:w="588" w:type="pct"/>
                </w:tcPr>
                <w:p w14:paraId="2A4152FB" w14:textId="77777777" w:rsidR="006B2D24" w:rsidRPr="001A49A7" w:rsidRDefault="006B2D24" w:rsidP="00055DB8">
                  <w:pPr>
                    <w:pStyle w:val="TableBodyText"/>
                    <w:ind w:right="28"/>
                    <w:jc w:val="center"/>
                  </w:pPr>
                  <w:r w:rsidRPr="001A49A7">
                    <w:t>Tenants housed before 1 October 2010</w:t>
                  </w:r>
                </w:p>
              </w:tc>
              <w:tc>
                <w:tcPr>
                  <w:tcW w:w="588" w:type="pct"/>
                </w:tcPr>
                <w:p w14:paraId="271921A1" w14:textId="77777777" w:rsidR="006B2D24" w:rsidRPr="001A49A7" w:rsidRDefault="006B2D24" w:rsidP="00055DB8">
                  <w:pPr>
                    <w:pStyle w:val="TableBodyText"/>
                    <w:ind w:right="28"/>
                    <w:jc w:val="center"/>
                  </w:pPr>
                  <w:r w:rsidRPr="001A49A7">
                    <w:t>na</w:t>
                  </w:r>
                </w:p>
              </w:tc>
              <w:tc>
                <w:tcPr>
                  <w:tcW w:w="588" w:type="pct"/>
                </w:tcPr>
                <w:p w14:paraId="0A2BEB0B" w14:textId="77777777" w:rsidR="006B2D24" w:rsidRPr="001A49A7" w:rsidRDefault="006B2D24" w:rsidP="00055DB8">
                  <w:pPr>
                    <w:pStyle w:val="TableBodyText"/>
                    <w:ind w:right="28"/>
                    <w:jc w:val="center"/>
                  </w:pPr>
                  <w:r w:rsidRPr="001A49A7">
                    <w:t>Yes</w:t>
                  </w:r>
                </w:p>
              </w:tc>
              <w:tc>
                <w:tcPr>
                  <w:tcW w:w="583" w:type="pct"/>
                </w:tcPr>
                <w:p w14:paraId="51E4B865" w14:textId="77777777" w:rsidR="006B2D24" w:rsidRPr="001A49A7" w:rsidRDefault="006B2D24" w:rsidP="00055DB8">
                  <w:pPr>
                    <w:pStyle w:val="TableBodyText"/>
                    <w:ind w:right="28"/>
                    <w:jc w:val="center"/>
                  </w:pPr>
                  <w:r w:rsidRPr="001A49A7">
                    <w:t>Yes</w:t>
                  </w:r>
                </w:p>
              </w:tc>
            </w:tr>
            <w:tr w:rsidR="006B2D24" w:rsidRPr="001A49A7" w14:paraId="7D842A4D" w14:textId="77777777" w:rsidTr="4E7DCBFD">
              <w:tc>
                <w:tcPr>
                  <w:tcW w:w="484" w:type="pct"/>
                  <w:shd w:val="clear" w:color="auto" w:fill="auto"/>
                </w:tcPr>
                <w:p w14:paraId="0F9B4EFE" w14:textId="77777777" w:rsidR="006B2D24" w:rsidRPr="001A49A7" w:rsidRDefault="006B2D24" w:rsidP="00055DB8">
                  <w:pPr>
                    <w:pStyle w:val="TableBodyText"/>
                    <w:jc w:val="left"/>
                  </w:pPr>
                  <w:r w:rsidRPr="001A49A7">
                    <w:t>Tenancy review</w:t>
                  </w:r>
                  <w:r w:rsidRPr="001A49A7">
                    <w:tab/>
                  </w:r>
                  <w:r w:rsidRPr="001A49A7">
                    <w:tab/>
                  </w:r>
                  <w:r w:rsidRPr="001A49A7">
                    <w:tab/>
                  </w:r>
                </w:p>
              </w:tc>
              <w:tc>
                <w:tcPr>
                  <w:tcW w:w="408" w:type="pct"/>
                  <w:gridSpan w:val="2"/>
                </w:tcPr>
                <w:p w14:paraId="54320DC2" w14:textId="77777777" w:rsidR="006B2D24" w:rsidRPr="001A49A7" w:rsidRDefault="006B2D24" w:rsidP="00055DB8">
                  <w:pPr>
                    <w:pStyle w:val="TableBodyText"/>
                    <w:jc w:val="center"/>
                  </w:pPr>
                  <w:r w:rsidRPr="001A49A7">
                    <w:t>Yes</w:t>
                  </w:r>
                </w:p>
              </w:tc>
              <w:tc>
                <w:tcPr>
                  <w:tcW w:w="587" w:type="pct"/>
                  <w:shd w:val="clear" w:color="auto" w:fill="auto"/>
                </w:tcPr>
                <w:p w14:paraId="1F46C11E" w14:textId="77777777" w:rsidR="006B2D24" w:rsidRPr="001A49A7" w:rsidRDefault="006B2D24" w:rsidP="00055DB8">
                  <w:pPr>
                    <w:pStyle w:val="TableBodyText"/>
                    <w:jc w:val="center"/>
                  </w:pPr>
                  <w:r w:rsidRPr="001A49A7">
                    <w:t>None</w:t>
                  </w:r>
                </w:p>
              </w:tc>
              <w:tc>
                <w:tcPr>
                  <w:tcW w:w="587" w:type="pct"/>
                  <w:shd w:val="clear" w:color="auto" w:fill="auto"/>
                </w:tcPr>
                <w:p w14:paraId="786B561D" w14:textId="77777777" w:rsidR="006B2D24" w:rsidRPr="001A49A7" w:rsidRDefault="006B2D24" w:rsidP="00055DB8">
                  <w:pPr>
                    <w:pStyle w:val="TableBodyText"/>
                    <w:ind w:right="28"/>
                    <w:jc w:val="center"/>
                  </w:pPr>
                  <w:r w:rsidRPr="001A49A7">
                    <w:t>Yes (review of ongoing need and eligibility)</w:t>
                  </w:r>
                </w:p>
              </w:tc>
              <w:tc>
                <w:tcPr>
                  <w:tcW w:w="587" w:type="pct"/>
                </w:tcPr>
                <w:p w14:paraId="48D39BE8" w14:textId="77777777" w:rsidR="006B2D24" w:rsidRPr="001A49A7" w:rsidRDefault="006B2D24" w:rsidP="00055DB8">
                  <w:pPr>
                    <w:pStyle w:val="TableBodyText"/>
                    <w:ind w:right="28"/>
                    <w:jc w:val="center"/>
                  </w:pPr>
                  <w:r w:rsidRPr="001A49A7">
                    <w:t>Annually and at end fixed term agreements</w:t>
                  </w:r>
                </w:p>
              </w:tc>
              <w:tc>
                <w:tcPr>
                  <w:tcW w:w="588" w:type="pct"/>
                </w:tcPr>
                <w:p w14:paraId="7910F968" w14:textId="77777777" w:rsidR="006B2D24" w:rsidRPr="001A49A7" w:rsidRDefault="006B2D24" w:rsidP="00055DB8">
                  <w:pPr>
                    <w:pStyle w:val="TableBodyText"/>
                    <w:ind w:right="28"/>
                    <w:jc w:val="center"/>
                  </w:pPr>
                  <w:r w:rsidRPr="001A49A7">
                    <w:t>Prior to end of lease for probationary / fixed term tenancies</w:t>
                  </w:r>
                </w:p>
              </w:tc>
              <w:tc>
                <w:tcPr>
                  <w:tcW w:w="588" w:type="pct"/>
                </w:tcPr>
                <w:p w14:paraId="1B3CFABA" w14:textId="77777777" w:rsidR="006B2D24" w:rsidRPr="001A49A7" w:rsidRDefault="006B2D24" w:rsidP="00055DB8">
                  <w:pPr>
                    <w:pStyle w:val="TableBodyText"/>
                    <w:ind w:right="28"/>
                    <w:jc w:val="center"/>
                  </w:pPr>
                  <w:r w:rsidRPr="001A49A7">
                    <w:t>Annual</w:t>
                  </w:r>
                </w:p>
              </w:tc>
              <w:tc>
                <w:tcPr>
                  <w:tcW w:w="588" w:type="pct"/>
                </w:tcPr>
                <w:p w14:paraId="0D6B7370" w14:textId="77777777" w:rsidR="006B2D24" w:rsidRPr="001A49A7" w:rsidRDefault="006B2D24" w:rsidP="00055DB8">
                  <w:pPr>
                    <w:pStyle w:val="TableBodyText"/>
                    <w:ind w:right="28"/>
                    <w:jc w:val="center"/>
                  </w:pPr>
                  <w:r w:rsidRPr="001A49A7">
                    <w:t>Limited review arrangements apply</w:t>
                  </w:r>
                </w:p>
              </w:tc>
              <w:tc>
                <w:tcPr>
                  <w:tcW w:w="583" w:type="pct"/>
                </w:tcPr>
                <w:p w14:paraId="6E383633" w14:textId="77777777" w:rsidR="006B2D24" w:rsidRPr="001A49A7" w:rsidRDefault="006B2D24" w:rsidP="00055DB8">
                  <w:pPr>
                    <w:pStyle w:val="TableBodyText"/>
                    <w:ind w:right="28"/>
                    <w:jc w:val="center"/>
                  </w:pPr>
                  <w:r w:rsidRPr="001A49A7">
                    <w:t>Annually, on rental rebate application and at end fixed term agreements</w:t>
                  </w:r>
                </w:p>
              </w:tc>
            </w:tr>
            <w:tr w:rsidR="006B2D24" w:rsidRPr="001A49A7" w14:paraId="746629DF" w14:textId="77777777" w:rsidTr="4E7DCBFD">
              <w:tc>
                <w:tcPr>
                  <w:tcW w:w="2066" w:type="pct"/>
                  <w:gridSpan w:val="5"/>
                  <w:shd w:val="clear" w:color="auto" w:fill="auto"/>
                </w:tcPr>
                <w:p w14:paraId="5257BBD7" w14:textId="11C6751E" w:rsidR="006B2D24" w:rsidRPr="001A49A7" w:rsidRDefault="006B2D24" w:rsidP="00055DB8">
                  <w:pPr>
                    <w:pStyle w:val="TableBodyText"/>
                    <w:ind w:right="28"/>
                    <w:jc w:val="left"/>
                  </w:pPr>
                  <w:r w:rsidRPr="4E7DCBFD">
                    <w:rPr>
                      <w:b/>
                      <w:bCs/>
                    </w:rPr>
                    <w:t>Rebated rent setting: r</w:t>
                  </w:r>
                  <w:r>
                    <w:t>ent</w:t>
                  </w:r>
                  <w:r w:rsidR="51CE79D3">
                    <w:t xml:space="preserve"> </w:t>
                  </w:r>
                  <w:r>
                    <w:t>to</w:t>
                  </w:r>
                  <w:r w:rsidR="49B2E1B8">
                    <w:t xml:space="preserve"> </w:t>
                  </w:r>
                  <w:r>
                    <w:t>income ratio (%)</w:t>
                  </w:r>
                </w:p>
              </w:tc>
              <w:tc>
                <w:tcPr>
                  <w:tcW w:w="587" w:type="pct"/>
                </w:tcPr>
                <w:p w14:paraId="0ACE084B" w14:textId="77777777" w:rsidR="006B2D24" w:rsidRPr="001A49A7" w:rsidRDefault="006B2D24" w:rsidP="00055DB8">
                  <w:pPr>
                    <w:pStyle w:val="TableBodyText"/>
                    <w:ind w:right="28"/>
                    <w:jc w:val="center"/>
                  </w:pPr>
                </w:p>
              </w:tc>
              <w:tc>
                <w:tcPr>
                  <w:tcW w:w="588" w:type="pct"/>
                </w:tcPr>
                <w:p w14:paraId="1D20C8EA" w14:textId="77777777" w:rsidR="006B2D24" w:rsidRPr="001A49A7" w:rsidRDefault="006B2D24" w:rsidP="00055DB8">
                  <w:pPr>
                    <w:pStyle w:val="TableBodyText"/>
                    <w:ind w:right="28"/>
                    <w:jc w:val="center"/>
                  </w:pPr>
                </w:p>
              </w:tc>
              <w:tc>
                <w:tcPr>
                  <w:tcW w:w="588" w:type="pct"/>
                </w:tcPr>
                <w:p w14:paraId="0DC87E2C" w14:textId="77777777" w:rsidR="006B2D24" w:rsidRPr="001A49A7" w:rsidRDefault="006B2D24" w:rsidP="00055DB8">
                  <w:pPr>
                    <w:pStyle w:val="TableBodyText"/>
                    <w:ind w:right="28"/>
                    <w:jc w:val="center"/>
                  </w:pPr>
                </w:p>
              </w:tc>
              <w:tc>
                <w:tcPr>
                  <w:tcW w:w="588" w:type="pct"/>
                </w:tcPr>
                <w:p w14:paraId="5F9D0432" w14:textId="77777777" w:rsidR="006B2D24" w:rsidRPr="001A49A7" w:rsidRDefault="006B2D24" w:rsidP="00055DB8">
                  <w:pPr>
                    <w:pStyle w:val="TableBodyText"/>
                    <w:ind w:right="28"/>
                    <w:jc w:val="center"/>
                  </w:pPr>
                </w:p>
              </w:tc>
              <w:tc>
                <w:tcPr>
                  <w:tcW w:w="583" w:type="pct"/>
                </w:tcPr>
                <w:p w14:paraId="25B6E46E" w14:textId="77777777" w:rsidR="006B2D24" w:rsidRPr="001A49A7" w:rsidRDefault="006B2D24" w:rsidP="00055DB8">
                  <w:pPr>
                    <w:pStyle w:val="TableBodyText"/>
                    <w:ind w:right="28"/>
                    <w:jc w:val="center"/>
                  </w:pPr>
                </w:p>
              </w:tc>
            </w:tr>
            <w:tr w:rsidR="006B2D24" w:rsidRPr="001A49A7" w14:paraId="084CAAC8" w14:textId="77777777" w:rsidTr="00840FF1">
              <w:tc>
                <w:tcPr>
                  <w:tcW w:w="484" w:type="pct"/>
                  <w:shd w:val="clear" w:color="auto" w:fill="auto"/>
                </w:tcPr>
                <w:p w14:paraId="0E614F05" w14:textId="77777777" w:rsidR="006B2D24" w:rsidRPr="001A49A7" w:rsidRDefault="006B2D24" w:rsidP="00055DB8">
                  <w:pPr>
                    <w:pStyle w:val="TableBodyText"/>
                    <w:jc w:val="left"/>
                  </w:pPr>
                </w:p>
              </w:tc>
              <w:tc>
                <w:tcPr>
                  <w:tcW w:w="408" w:type="pct"/>
                  <w:gridSpan w:val="2"/>
                </w:tcPr>
                <w:p w14:paraId="462121CC" w14:textId="77777777" w:rsidR="006B2D24" w:rsidRPr="001A49A7" w:rsidRDefault="006B2D24" w:rsidP="00055DB8">
                  <w:pPr>
                    <w:pStyle w:val="TableBodyText"/>
                    <w:jc w:val="center"/>
                  </w:pPr>
                  <w:r w:rsidRPr="008409CC">
                    <w:t>25–30</w:t>
                  </w:r>
                </w:p>
              </w:tc>
              <w:tc>
                <w:tcPr>
                  <w:tcW w:w="587" w:type="pct"/>
                  <w:shd w:val="clear" w:color="auto" w:fill="auto"/>
                </w:tcPr>
                <w:p w14:paraId="001A64AF" w14:textId="77777777" w:rsidR="006B2D24" w:rsidRPr="001A49A7" w:rsidRDefault="006B2D24" w:rsidP="00055DB8">
                  <w:pPr>
                    <w:pStyle w:val="TableBodyText"/>
                    <w:jc w:val="center"/>
                  </w:pPr>
                  <w:r w:rsidRPr="008409CC">
                    <w:t>25</w:t>
                  </w:r>
                </w:p>
              </w:tc>
              <w:tc>
                <w:tcPr>
                  <w:tcW w:w="587" w:type="pct"/>
                  <w:shd w:val="clear" w:color="auto" w:fill="auto"/>
                </w:tcPr>
                <w:p w14:paraId="0F952B53" w14:textId="77777777" w:rsidR="006B2D24" w:rsidRPr="001A49A7" w:rsidRDefault="006B2D24" w:rsidP="00055DB8">
                  <w:pPr>
                    <w:pStyle w:val="TableBodyText"/>
                    <w:ind w:right="28"/>
                    <w:jc w:val="center"/>
                  </w:pPr>
                  <w:r w:rsidRPr="008409CC">
                    <w:t>25</w:t>
                  </w:r>
                </w:p>
              </w:tc>
              <w:tc>
                <w:tcPr>
                  <w:tcW w:w="587" w:type="pct"/>
                </w:tcPr>
                <w:p w14:paraId="68ABC6E6" w14:textId="77777777" w:rsidR="006B2D24" w:rsidRPr="001A49A7" w:rsidRDefault="006B2D24" w:rsidP="00055DB8">
                  <w:pPr>
                    <w:pStyle w:val="TableBodyText"/>
                    <w:ind w:right="28"/>
                    <w:jc w:val="center"/>
                  </w:pPr>
                  <w:r w:rsidRPr="008409CC">
                    <w:t>25</w:t>
                  </w:r>
                </w:p>
              </w:tc>
              <w:tc>
                <w:tcPr>
                  <w:tcW w:w="588" w:type="pct"/>
                </w:tcPr>
                <w:p w14:paraId="20FA5329" w14:textId="77777777" w:rsidR="006B2D24" w:rsidRPr="001A49A7" w:rsidRDefault="006B2D24" w:rsidP="00055DB8">
                  <w:pPr>
                    <w:pStyle w:val="TableBodyText"/>
                    <w:ind w:right="28"/>
                    <w:jc w:val="center"/>
                  </w:pPr>
                  <w:r w:rsidRPr="008409CC">
                    <w:t>25</w:t>
                  </w:r>
                </w:p>
              </w:tc>
              <w:tc>
                <w:tcPr>
                  <w:tcW w:w="588" w:type="pct"/>
                </w:tcPr>
                <w:p w14:paraId="3E54FD46" w14:textId="77777777" w:rsidR="006B2D24" w:rsidRPr="001A49A7" w:rsidRDefault="006B2D24" w:rsidP="00055DB8">
                  <w:pPr>
                    <w:pStyle w:val="TableBodyText"/>
                    <w:ind w:right="28"/>
                    <w:jc w:val="center"/>
                  </w:pPr>
                  <w:r w:rsidRPr="008409CC">
                    <w:t>25</w:t>
                  </w:r>
                </w:p>
              </w:tc>
              <w:tc>
                <w:tcPr>
                  <w:tcW w:w="588" w:type="pct"/>
                </w:tcPr>
                <w:p w14:paraId="5D8534CE" w14:textId="77777777" w:rsidR="006B2D24" w:rsidRPr="001A49A7" w:rsidRDefault="006B2D24" w:rsidP="00055DB8">
                  <w:pPr>
                    <w:pStyle w:val="TableBodyText"/>
                    <w:ind w:right="28"/>
                    <w:jc w:val="center"/>
                  </w:pPr>
                  <w:r w:rsidRPr="008409CC">
                    <w:t>25</w:t>
                  </w:r>
                </w:p>
              </w:tc>
              <w:tc>
                <w:tcPr>
                  <w:tcW w:w="583" w:type="pct"/>
                </w:tcPr>
                <w:p w14:paraId="5A479C86" w14:textId="77777777" w:rsidR="006B2D24" w:rsidRPr="001A49A7" w:rsidRDefault="006B2D24" w:rsidP="00055DB8">
                  <w:pPr>
                    <w:pStyle w:val="TableBodyText"/>
                    <w:ind w:right="28"/>
                    <w:jc w:val="center"/>
                  </w:pPr>
                  <w:r w:rsidRPr="008409CC">
                    <w:t>23–25</w:t>
                  </w:r>
                </w:p>
              </w:tc>
            </w:tr>
            <w:tr w:rsidR="006B2D24" w:rsidRPr="001A49A7" w14:paraId="3B3B3AC9" w14:textId="77777777" w:rsidTr="00840FF1">
              <w:trPr>
                <w:trHeight w:val="284"/>
              </w:trPr>
              <w:tc>
                <w:tcPr>
                  <w:tcW w:w="484" w:type="pct"/>
                  <w:tcBorders>
                    <w:bottom w:val="single" w:sz="6" w:space="0" w:color="BFBFBF" w:themeColor="background1" w:themeShade="BF"/>
                  </w:tcBorders>
                  <w:shd w:val="clear" w:color="auto" w:fill="auto"/>
                </w:tcPr>
                <w:p w14:paraId="004075EE" w14:textId="77777777" w:rsidR="006B2D24" w:rsidRPr="001A49A7" w:rsidRDefault="006B2D24" w:rsidP="00055DB8">
                  <w:pPr>
                    <w:pStyle w:val="TableBodyText"/>
                    <w:jc w:val="left"/>
                  </w:pPr>
                </w:p>
              </w:tc>
              <w:tc>
                <w:tcPr>
                  <w:tcW w:w="408" w:type="pct"/>
                  <w:gridSpan w:val="2"/>
                  <w:tcBorders>
                    <w:bottom w:val="single" w:sz="6" w:space="0" w:color="BFBFBF" w:themeColor="background1" w:themeShade="BF"/>
                  </w:tcBorders>
                </w:tcPr>
                <w:p w14:paraId="43F8D293" w14:textId="77777777" w:rsidR="006B2D24" w:rsidRPr="00F3770E" w:rsidRDefault="006B2D24" w:rsidP="00055DB8">
                  <w:pPr>
                    <w:pStyle w:val="TableBodyText"/>
                    <w:jc w:val="center"/>
                  </w:pPr>
                </w:p>
              </w:tc>
              <w:tc>
                <w:tcPr>
                  <w:tcW w:w="587" w:type="pct"/>
                  <w:tcBorders>
                    <w:bottom w:val="single" w:sz="6" w:space="0" w:color="BFBFBF" w:themeColor="background1" w:themeShade="BF"/>
                  </w:tcBorders>
                  <w:shd w:val="clear" w:color="auto" w:fill="auto"/>
                </w:tcPr>
                <w:p w14:paraId="3BB32433" w14:textId="77777777" w:rsidR="006B2D24" w:rsidRPr="00F3770E" w:rsidRDefault="006B2D24" w:rsidP="00055DB8">
                  <w:pPr>
                    <w:pStyle w:val="TableBodyText"/>
                    <w:jc w:val="center"/>
                  </w:pPr>
                </w:p>
              </w:tc>
              <w:tc>
                <w:tcPr>
                  <w:tcW w:w="587" w:type="pct"/>
                  <w:tcBorders>
                    <w:bottom w:val="single" w:sz="6" w:space="0" w:color="BFBFBF" w:themeColor="background1" w:themeShade="BF"/>
                  </w:tcBorders>
                  <w:shd w:val="clear" w:color="auto" w:fill="auto"/>
                </w:tcPr>
                <w:p w14:paraId="628095BD" w14:textId="77777777" w:rsidR="006B2D24" w:rsidRPr="00F3770E" w:rsidRDefault="006B2D24" w:rsidP="00055DB8">
                  <w:pPr>
                    <w:pStyle w:val="TableBodyText"/>
                    <w:ind w:right="28"/>
                    <w:jc w:val="center"/>
                  </w:pPr>
                </w:p>
              </w:tc>
              <w:tc>
                <w:tcPr>
                  <w:tcW w:w="587" w:type="pct"/>
                  <w:tcBorders>
                    <w:bottom w:val="single" w:sz="6" w:space="0" w:color="BFBFBF" w:themeColor="background1" w:themeShade="BF"/>
                  </w:tcBorders>
                </w:tcPr>
                <w:p w14:paraId="79FD4BFF" w14:textId="77777777" w:rsidR="006B2D24" w:rsidRPr="00F3770E" w:rsidRDefault="006B2D24" w:rsidP="00055DB8">
                  <w:pPr>
                    <w:pStyle w:val="TableBodyText"/>
                    <w:ind w:right="28"/>
                    <w:jc w:val="center"/>
                  </w:pPr>
                </w:p>
              </w:tc>
              <w:tc>
                <w:tcPr>
                  <w:tcW w:w="588" w:type="pct"/>
                  <w:tcBorders>
                    <w:bottom w:val="single" w:sz="6" w:space="0" w:color="BFBFBF" w:themeColor="background1" w:themeShade="BF"/>
                  </w:tcBorders>
                </w:tcPr>
                <w:p w14:paraId="05597BC3" w14:textId="77777777" w:rsidR="006B2D24" w:rsidRPr="00F3770E" w:rsidRDefault="006B2D24" w:rsidP="00055DB8">
                  <w:pPr>
                    <w:pStyle w:val="TableBodyText"/>
                    <w:ind w:right="28"/>
                    <w:jc w:val="center"/>
                  </w:pPr>
                </w:p>
              </w:tc>
              <w:tc>
                <w:tcPr>
                  <w:tcW w:w="1759" w:type="pct"/>
                  <w:gridSpan w:val="3"/>
                  <w:tcBorders>
                    <w:bottom w:val="single" w:sz="6" w:space="0" w:color="BFBFBF" w:themeColor="background1" w:themeShade="BF"/>
                  </w:tcBorders>
                </w:tcPr>
                <w:p w14:paraId="54EDA0B6" w14:textId="77777777" w:rsidR="006B2D24" w:rsidRPr="00F3770E" w:rsidRDefault="006B2D24" w:rsidP="00055DB8">
                  <w:pPr>
                    <w:pStyle w:val="TableBodyText"/>
                    <w:spacing w:before="80"/>
                    <w:ind w:right="28"/>
                  </w:pPr>
                  <w:r w:rsidRPr="00C52B8F">
                    <w:rPr>
                      <w:szCs w:val="18"/>
                    </w:rPr>
                    <w:t>(continued next page)</w:t>
                  </w:r>
                </w:p>
              </w:tc>
            </w:tr>
          </w:tbl>
          <w:p w14:paraId="6A4B1499" w14:textId="77777777" w:rsidR="006B2D24" w:rsidRPr="00C52B8F" w:rsidRDefault="006B2D24" w:rsidP="00055DB8">
            <w:pPr>
              <w:pStyle w:val="Box"/>
              <w:jc w:val="right"/>
              <w:rPr>
                <w:sz w:val="18"/>
                <w:szCs w:val="18"/>
              </w:rPr>
            </w:pPr>
          </w:p>
        </w:tc>
      </w:tr>
      <w:tr w:rsidR="006B2D24" w14:paraId="7A350C41" w14:textId="77777777" w:rsidTr="00315A0C">
        <w:trPr>
          <w:trHeight w:val="116"/>
        </w:trPr>
        <w:tc>
          <w:tcPr>
            <w:tcW w:w="5000" w:type="pct"/>
            <w:tcBorders>
              <w:bottom w:val="single" w:sz="4" w:space="0" w:color="78A22F" w:themeColor="accent1"/>
            </w:tcBorders>
            <w:shd w:val="clear" w:color="auto" w:fill="auto"/>
          </w:tcPr>
          <w:p w14:paraId="17AA4566" w14:textId="5CDC1887" w:rsidR="00CB72A3" w:rsidRPr="00CB72A3" w:rsidRDefault="00CB72A3" w:rsidP="00CF7B63">
            <w:pPr>
              <w:pStyle w:val="BodyText"/>
              <w:spacing w:before="0" w:line="120" w:lineRule="exact"/>
            </w:pPr>
          </w:p>
        </w:tc>
      </w:tr>
    </w:tbl>
    <w:p w14:paraId="420CA0A6" w14:textId="77777777" w:rsidR="008C75A2" w:rsidRDefault="008C75A2" w:rsidP="008C75A2">
      <w:pPr>
        <w:pStyle w:val="BoxSpaceAbove"/>
      </w:pPr>
      <w:r>
        <w:lastRenderedPageBreak/>
        <w:tab/>
      </w: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8C75A2" w:rsidRPr="00F810D5" w14:paraId="1DA9436B" w14:textId="77777777" w:rsidTr="00613A79">
        <w:tc>
          <w:tcPr>
            <w:tcW w:w="5000" w:type="pct"/>
            <w:tcBorders>
              <w:bottom w:val="nil"/>
            </w:tcBorders>
            <w:shd w:val="clear" w:color="auto" w:fill="auto"/>
          </w:tcPr>
          <w:p w14:paraId="797BCE60" w14:textId="0BDEEF3E" w:rsidR="008C75A2" w:rsidRPr="00F810D5" w:rsidRDefault="008C75A2" w:rsidP="00055DB8">
            <w:pPr>
              <w:pStyle w:val="TableTitle"/>
              <w:rPr>
                <w:b w:val="0"/>
              </w:rPr>
            </w:pPr>
            <w:r>
              <w:rPr>
                <w:b w:val="0"/>
              </w:rPr>
              <w:t>Table 18.1</w:t>
            </w:r>
            <w:r w:rsidRPr="00F810D5">
              <w:rPr>
                <w:b w:val="0"/>
              </w:rPr>
              <w:tab/>
            </w:r>
            <w:r w:rsidRPr="00F810D5">
              <w:rPr>
                <w:b w:val="0"/>
                <w:sz w:val="18"/>
                <w:szCs w:val="18"/>
              </w:rPr>
              <w:t>(</w:t>
            </w:r>
            <w:r>
              <w:rPr>
                <w:b w:val="0"/>
                <w:sz w:val="18"/>
                <w:szCs w:val="18"/>
              </w:rPr>
              <w:t>Public housing</w:t>
            </w:r>
            <w:r w:rsidRPr="00CB1F56">
              <w:rPr>
                <w:b w:val="0"/>
                <w:sz w:val="18"/>
                <w:szCs w:val="18"/>
              </w:rPr>
              <w:t xml:space="preserve"> policy context</w:t>
            </w:r>
            <w:r>
              <w:rPr>
                <w:b w:val="0"/>
                <w:sz w:val="18"/>
                <w:szCs w:val="18"/>
              </w:rPr>
              <w:t xml:space="preserve"> 202</w:t>
            </w:r>
            <w:r w:rsidR="00436186">
              <w:rPr>
                <w:b w:val="0"/>
                <w:sz w:val="18"/>
                <w:szCs w:val="18"/>
              </w:rPr>
              <w:t>1</w:t>
            </w:r>
            <w:r w:rsidRPr="00CB1F56">
              <w:rPr>
                <w:b w:val="0"/>
                <w:sz w:val="18"/>
                <w:szCs w:val="18"/>
              </w:rPr>
              <w:t xml:space="preserve"> </w:t>
            </w:r>
            <w:r w:rsidRPr="001413EB">
              <w:rPr>
                <w:b w:val="0"/>
                <w:sz w:val="18"/>
                <w:szCs w:val="18"/>
              </w:rPr>
              <w:t>continued)</w:t>
            </w:r>
          </w:p>
        </w:tc>
      </w:tr>
      <w:tr w:rsidR="008C75A2" w14:paraId="6A2B6DD7" w14:textId="77777777" w:rsidTr="00613A79">
        <w:tc>
          <w:tcPr>
            <w:tcW w:w="5000" w:type="pct"/>
            <w:tcBorders>
              <w:top w:val="nil"/>
              <w:bottom w:val="nil"/>
            </w:tcBorders>
            <w:shd w:val="clear" w:color="auto" w:fill="auto"/>
          </w:tcPr>
          <w:tbl>
            <w:tblPr>
              <w:tblW w:w="13324" w:type="dxa"/>
              <w:tblBorders>
                <w:top w:val="single" w:sz="6" w:space="0" w:color="BFBFBF" w:themeColor="background1" w:themeShade="BF"/>
                <w:bottom w:val="single" w:sz="6" w:space="0" w:color="BFBFBF" w:themeColor="background1" w:themeShade="BF"/>
              </w:tblBorders>
              <w:tblCellMar>
                <w:top w:w="28" w:type="dxa"/>
                <w:left w:w="0" w:type="dxa"/>
                <w:right w:w="0" w:type="dxa"/>
              </w:tblCellMar>
              <w:tblLook w:val="0000" w:firstRow="0" w:lastRow="0" w:firstColumn="0" w:lastColumn="0" w:noHBand="0" w:noVBand="0"/>
            </w:tblPr>
            <w:tblGrid>
              <w:gridCol w:w="1290"/>
              <w:gridCol w:w="1087"/>
              <w:gridCol w:w="1564"/>
              <w:gridCol w:w="1564"/>
              <w:gridCol w:w="1564"/>
              <w:gridCol w:w="1567"/>
              <w:gridCol w:w="1567"/>
              <w:gridCol w:w="1567"/>
              <w:gridCol w:w="1554"/>
            </w:tblGrid>
            <w:tr w:rsidR="0062616E" w:rsidRPr="001A49A7" w14:paraId="596D800A" w14:textId="77777777" w:rsidTr="0062616E">
              <w:trPr>
                <w:trHeight w:val="276"/>
                <w:tblHeader/>
              </w:trPr>
              <w:tc>
                <w:tcPr>
                  <w:tcW w:w="484" w:type="pct"/>
                  <w:shd w:val="clear" w:color="auto" w:fill="auto"/>
                  <w:tcMar>
                    <w:top w:w="28" w:type="dxa"/>
                  </w:tcMar>
                </w:tcPr>
                <w:p w14:paraId="7D38E075" w14:textId="77777777" w:rsidR="0062616E" w:rsidRDefault="0062616E" w:rsidP="0062616E">
                  <w:pPr>
                    <w:pStyle w:val="TableColumnHeading"/>
                    <w:ind w:right="28"/>
                    <w:jc w:val="left"/>
                  </w:pPr>
                </w:p>
              </w:tc>
              <w:tc>
                <w:tcPr>
                  <w:tcW w:w="408" w:type="pct"/>
                </w:tcPr>
                <w:p w14:paraId="0A07D335" w14:textId="77777777" w:rsidR="0062616E" w:rsidRPr="008F61D2" w:rsidRDefault="0062616E" w:rsidP="003A58D2">
                  <w:pPr>
                    <w:pStyle w:val="TableColumnHeading"/>
                    <w:jc w:val="center"/>
                  </w:pPr>
                  <w:r w:rsidRPr="00A04620">
                    <w:t>NSW</w:t>
                  </w:r>
                  <w:r w:rsidRPr="009608F7">
                    <w:rPr>
                      <w:rStyle w:val="NoteLabel"/>
                    </w:rPr>
                    <w:t>d</w:t>
                  </w:r>
                </w:p>
              </w:tc>
              <w:tc>
                <w:tcPr>
                  <w:tcW w:w="587" w:type="pct"/>
                  <w:shd w:val="clear" w:color="auto" w:fill="auto"/>
                  <w:tcMar>
                    <w:top w:w="28" w:type="dxa"/>
                  </w:tcMar>
                </w:tcPr>
                <w:p w14:paraId="693E3E8A" w14:textId="77777777" w:rsidR="0062616E" w:rsidRPr="008F61D2" w:rsidRDefault="0062616E" w:rsidP="003A58D2">
                  <w:pPr>
                    <w:pStyle w:val="TableColumnHeading"/>
                    <w:jc w:val="center"/>
                  </w:pPr>
                  <w:r w:rsidRPr="008F61D2">
                    <w:t>Vic</w:t>
                  </w:r>
                  <w:r w:rsidRPr="009608F7">
                    <w:rPr>
                      <w:rStyle w:val="NoteLabel"/>
                    </w:rPr>
                    <w:t>e</w:t>
                  </w:r>
                </w:p>
              </w:tc>
              <w:tc>
                <w:tcPr>
                  <w:tcW w:w="587" w:type="pct"/>
                  <w:shd w:val="clear" w:color="auto" w:fill="auto"/>
                  <w:tcMar>
                    <w:top w:w="28" w:type="dxa"/>
                  </w:tcMar>
                </w:tcPr>
                <w:p w14:paraId="13F22D5F" w14:textId="77777777" w:rsidR="0062616E" w:rsidRPr="00CE48B5" w:rsidRDefault="0062616E" w:rsidP="003A58D2">
                  <w:pPr>
                    <w:pStyle w:val="TableColumnHeading"/>
                    <w:jc w:val="center"/>
                    <w:rPr>
                      <w:b/>
                      <w:bCs/>
                    </w:rPr>
                  </w:pPr>
                  <w:r w:rsidRPr="009D32BD">
                    <w:t>Qld</w:t>
                  </w:r>
                  <w:r w:rsidRPr="00C115FE">
                    <w:rPr>
                      <w:rStyle w:val="NoteLabel"/>
                      <w:bCs/>
                    </w:rPr>
                    <w:t>f</w:t>
                  </w:r>
                </w:p>
              </w:tc>
              <w:tc>
                <w:tcPr>
                  <w:tcW w:w="587" w:type="pct"/>
                </w:tcPr>
                <w:p w14:paraId="4CC344F1" w14:textId="77777777" w:rsidR="0062616E" w:rsidRPr="008F61D2" w:rsidRDefault="0062616E" w:rsidP="003A58D2">
                  <w:pPr>
                    <w:pStyle w:val="TableColumnHeading"/>
                    <w:jc w:val="center"/>
                  </w:pPr>
                  <w:r w:rsidRPr="008F61D2">
                    <w:t>WA</w:t>
                  </w:r>
                  <w:r w:rsidRPr="008F61D2">
                    <w:rPr>
                      <w:rStyle w:val="NoteLabel"/>
                    </w:rPr>
                    <w:t>g</w:t>
                  </w:r>
                </w:p>
              </w:tc>
              <w:tc>
                <w:tcPr>
                  <w:tcW w:w="588" w:type="pct"/>
                </w:tcPr>
                <w:p w14:paraId="7A38AA90" w14:textId="77777777" w:rsidR="0062616E" w:rsidRPr="008F61D2" w:rsidRDefault="0062616E" w:rsidP="003A58D2">
                  <w:pPr>
                    <w:pStyle w:val="TableColumnHeading"/>
                    <w:jc w:val="center"/>
                  </w:pPr>
                  <w:r w:rsidRPr="008F61D2">
                    <w:t>SA</w:t>
                  </w:r>
                  <w:r w:rsidRPr="008F61D2">
                    <w:rPr>
                      <w:rStyle w:val="NoteLabel"/>
                    </w:rPr>
                    <w:t>h</w:t>
                  </w:r>
                </w:p>
              </w:tc>
              <w:tc>
                <w:tcPr>
                  <w:tcW w:w="588" w:type="pct"/>
                </w:tcPr>
                <w:p w14:paraId="6AF44E6C" w14:textId="77777777" w:rsidR="0062616E" w:rsidRPr="008F61D2" w:rsidRDefault="0062616E" w:rsidP="003A58D2">
                  <w:pPr>
                    <w:pStyle w:val="TableColumnHeading"/>
                    <w:jc w:val="center"/>
                  </w:pPr>
                  <w:r w:rsidRPr="008F61D2">
                    <w:t>Tas</w:t>
                  </w:r>
                  <w:r w:rsidRPr="008F61D2">
                    <w:rPr>
                      <w:rStyle w:val="NoteLabel"/>
                    </w:rPr>
                    <w:t>i</w:t>
                  </w:r>
                </w:p>
              </w:tc>
              <w:tc>
                <w:tcPr>
                  <w:tcW w:w="588" w:type="pct"/>
                </w:tcPr>
                <w:p w14:paraId="397165AB" w14:textId="77777777" w:rsidR="0062616E" w:rsidRPr="008F61D2" w:rsidRDefault="0062616E" w:rsidP="003A58D2">
                  <w:pPr>
                    <w:pStyle w:val="TableColumnHeading"/>
                    <w:jc w:val="center"/>
                  </w:pPr>
                  <w:r w:rsidRPr="008F61D2">
                    <w:t>ACT</w:t>
                  </w:r>
                  <w:r w:rsidRPr="008F61D2">
                    <w:rPr>
                      <w:rStyle w:val="NoteLabel"/>
                    </w:rPr>
                    <w:t>j</w:t>
                  </w:r>
                </w:p>
              </w:tc>
              <w:tc>
                <w:tcPr>
                  <w:tcW w:w="583" w:type="pct"/>
                </w:tcPr>
                <w:p w14:paraId="4E562245" w14:textId="77777777" w:rsidR="0062616E" w:rsidRPr="008F61D2" w:rsidRDefault="0062616E" w:rsidP="003A58D2">
                  <w:pPr>
                    <w:pStyle w:val="TableColumnHeading"/>
                    <w:ind w:right="28"/>
                    <w:jc w:val="center"/>
                  </w:pPr>
                  <w:r w:rsidRPr="008F61D2">
                    <w:t>NT</w:t>
                  </w:r>
                  <w:r w:rsidRPr="006C3877">
                    <w:rPr>
                      <w:rStyle w:val="NoteLabel"/>
                    </w:rPr>
                    <w:t>k</w:t>
                  </w:r>
                </w:p>
              </w:tc>
            </w:tr>
          </w:tbl>
          <w:p w14:paraId="15A4B11D" w14:textId="77777777" w:rsidR="008C75A2" w:rsidRDefault="008C75A2" w:rsidP="00055DB8">
            <w:pPr>
              <w:pStyle w:val="Box"/>
              <w:spacing w:before="0" w:line="120" w:lineRule="exact"/>
            </w:pPr>
          </w:p>
        </w:tc>
      </w:tr>
      <w:tr w:rsidR="008C75A2" w14:paraId="04002532" w14:textId="77777777" w:rsidTr="4E7DCBFD">
        <w:tc>
          <w:tcPr>
            <w:tcW w:w="5000" w:type="pct"/>
            <w:tcBorders>
              <w:top w:val="nil"/>
              <w:bottom w:val="nil"/>
            </w:tcBorders>
            <w:shd w:val="clear" w:color="auto" w:fill="auto"/>
          </w:tcPr>
          <w:p w14:paraId="6B48A4D5" w14:textId="65C29682" w:rsidR="008C75A2" w:rsidRPr="006362A9" w:rsidRDefault="755B29E8" w:rsidP="00055DB8">
            <w:pPr>
              <w:pStyle w:val="Note"/>
              <w:jc w:val="left"/>
            </w:pPr>
            <w:r w:rsidRPr="4E7DCBFD">
              <w:rPr>
                <w:rStyle w:val="NoteLabel"/>
              </w:rPr>
              <w:t xml:space="preserve">a </w:t>
            </w:r>
            <w:r>
              <w:t xml:space="preserve">At 30 June. </w:t>
            </w:r>
            <w:r w:rsidRPr="4E7DCBFD">
              <w:rPr>
                <w:rStyle w:val="NoteLabel"/>
              </w:rPr>
              <w:t>b</w:t>
            </w:r>
            <w:r>
              <w:t xml:space="preserve"> </w:t>
            </w:r>
            <w:r w:rsidRPr="4E7DCBFD">
              <w:rPr>
                <w:b/>
                <w:bCs/>
              </w:rPr>
              <w:t>na</w:t>
            </w:r>
            <w:r>
              <w:t xml:space="preserve">: Not available. </w:t>
            </w:r>
            <w:r w:rsidR="5ACEDF8D" w:rsidRPr="4E7DCBFD">
              <w:rPr>
                <w:rStyle w:val="NoteLabel"/>
              </w:rPr>
              <w:t>c</w:t>
            </w:r>
            <w:r>
              <w:t xml:space="preserve"> For further information, see State and Territory government websites. </w:t>
            </w:r>
            <w:r w:rsidR="008C75A2">
              <w:br/>
            </w:r>
            <w:r w:rsidR="5ACEDF8D" w:rsidRPr="4E7DCBFD">
              <w:rPr>
                <w:rStyle w:val="NoteLabel"/>
              </w:rPr>
              <w:t>d</w:t>
            </w:r>
            <w:r w:rsidR="00104E23">
              <w:rPr>
                <w:rStyle w:val="NoteLabel"/>
              </w:rPr>
              <w:t xml:space="preserve"> </w:t>
            </w:r>
            <w:r w:rsidRPr="4E7DCBFD">
              <w:rPr>
                <w:b/>
                <w:bCs/>
              </w:rPr>
              <w:t xml:space="preserve">NSW: </w:t>
            </w:r>
            <w:r>
              <w:t xml:space="preserve">The first $5000 of financial assets is exempt from assessment. Applicants under 18 years may be considered in certain circumstances. Shorter leases apply in particular circumstances. Tenancy review criteria: </w:t>
            </w:r>
            <w:r w:rsidRPr="006362A9">
              <w:t xml:space="preserve">ongoing eligibility; disability, medical condition or permanent injury. Rent to income ratio is based on household size, type and gross assessable income. </w:t>
            </w:r>
            <w:r w:rsidR="008C75A2" w:rsidRPr="006362A9">
              <w:br/>
            </w:r>
            <w:r w:rsidR="5ACEDF8D" w:rsidRPr="006362A9">
              <w:rPr>
                <w:rStyle w:val="NoteLabel"/>
              </w:rPr>
              <w:t>e</w:t>
            </w:r>
            <w:r w:rsidRPr="006362A9">
              <w:t xml:space="preserve"> </w:t>
            </w:r>
            <w:r w:rsidRPr="006362A9">
              <w:rPr>
                <w:b/>
                <w:bCs/>
              </w:rPr>
              <w:t>Vic:</w:t>
            </w:r>
            <w:r w:rsidRPr="006362A9">
              <w:t xml:space="preserve"> Income/other asset limits effective from 1 </w:t>
            </w:r>
            <w:r w:rsidR="1D9050D2" w:rsidRPr="006362A9">
              <w:t xml:space="preserve">October </w:t>
            </w:r>
            <w:r w:rsidRPr="006362A9">
              <w:t>202</w:t>
            </w:r>
            <w:r w:rsidR="660FDFA5" w:rsidRPr="006362A9">
              <w:t>1</w:t>
            </w:r>
            <w:r w:rsidRPr="006362A9">
              <w:t xml:space="preserve">. Rent to income ratios: 25 per cent of assessable primary income, 15 per cent of Centrelink family payments (A) and (B) / Maintenance Payments. </w:t>
            </w:r>
            <w:r w:rsidR="5C9EAB04" w:rsidRPr="006362A9">
              <w:t xml:space="preserve">Higher asset limits apply where </w:t>
            </w:r>
            <w:r w:rsidR="7A603B35" w:rsidRPr="006362A9">
              <w:t xml:space="preserve">major </w:t>
            </w:r>
            <w:r w:rsidR="233E8CC2" w:rsidRPr="006362A9">
              <w:t>disability</w:t>
            </w:r>
            <w:r w:rsidR="7A603B35" w:rsidRPr="006362A9">
              <w:t xml:space="preserve"> modifications required.</w:t>
            </w:r>
          </w:p>
          <w:p w14:paraId="5CE86907" w14:textId="25C77824" w:rsidR="008C75A2" w:rsidRPr="006362A9" w:rsidRDefault="001C614D" w:rsidP="00055DB8">
            <w:pPr>
              <w:pStyle w:val="Note"/>
              <w:jc w:val="left"/>
            </w:pPr>
            <w:r w:rsidRPr="006362A9">
              <w:rPr>
                <w:rStyle w:val="NoteLabel"/>
              </w:rPr>
              <w:t>f</w:t>
            </w:r>
            <w:r w:rsidR="008C75A2" w:rsidRPr="006362A9">
              <w:t xml:space="preserve"> </w:t>
            </w:r>
            <w:r w:rsidR="008C75A2" w:rsidRPr="006362A9">
              <w:rPr>
                <w:b/>
              </w:rPr>
              <w:t>Qld:</w:t>
            </w:r>
            <w:r w:rsidR="008C75A2" w:rsidRPr="006362A9">
              <w:t xml:space="preserve"> Six month periodic tenancies apply in certain circumstances. Tenancy review policies include ongoing eligibility and </w:t>
            </w:r>
            <w:r w:rsidR="00E87C1D" w:rsidRPr="006362A9">
              <w:t xml:space="preserve">a continuing </w:t>
            </w:r>
            <w:r w:rsidR="008C75A2" w:rsidRPr="006362A9">
              <w:t xml:space="preserve">need for the reviewable property. </w:t>
            </w:r>
          </w:p>
          <w:p w14:paraId="5B120FE0" w14:textId="4F49930E" w:rsidR="008C75A2" w:rsidRPr="006362A9" w:rsidRDefault="001C614D" w:rsidP="00055DB8">
            <w:pPr>
              <w:pStyle w:val="Note"/>
              <w:jc w:val="left"/>
            </w:pPr>
            <w:r w:rsidRPr="006362A9">
              <w:rPr>
                <w:rStyle w:val="NoteLabel"/>
              </w:rPr>
              <w:t>g</w:t>
            </w:r>
            <w:r w:rsidR="008C75A2" w:rsidRPr="006362A9">
              <w:t xml:space="preserve"> </w:t>
            </w:r>
            <w:r w:rsidR="008C75A2" w:rsidRPr="006362A9">
              <w:rPr>
                <w:b/>
                <w:bCs/>
              </w:rPr>
              <w:t>WA</w:t>
            </w:r>
            <w:r w:rsidR="008C75A2" w:rsidRPr="006362A9">
              <w:t xml:space="preserve">: Higher income limits apply in the north west and remote areas. </w:t>
            </w:r>
          </w:p>
          <w:p w14:paraId="5EF7F883" w14:textId="75D03336" w:rsidR="008C75A2" w:rsidRPr="006362A9" w:rsidRDefault="001C614D" w:rsidP="00055DB8">
            <w:pPr>
              <w:pStyle w:val="Note"/>
              <w:jc w:val="left"/>
            </w:pPr>
            <w:r w:rsidRPr="006362A9">
              <w:rPr>
                <w:rStyle w:val="NoteLabel"/>
              </w:rPr>
              <w:t>h</w:t>
            </w:r>
            <w:r w:rsidR="008C75A2" w:rsidRPr="006362A9">
              <w:t xml:space="preserve"> </w:t>
            </w:r>
            <w:r w:rsidR="008C75A2" w:rsidRPr="006362A9">
              <w:rPr>
                <w:b/>
                <w:bCs/>
              </w:rPr>
              <w:t xml:space="preserve">SA: </w:t>
            </w:r>
            <w:r w:rsidR="008C75A2" w:rsidRPr="006362A9">
              <w:t xml:space="preserve">Income limits regularly updated based on SA Average Weekly Earnings (ABS data). Asset limits regularly updated based on Centrelink asset limits. Lease length based on compliance with conditions of tenancy and household circumstances. </w:t>
            </w:r>
          </w:p>
          <w:p w14:paraId="6A05A842" w14:textId="169F3C12" w:rsidR="008C75A2" w:rsidRPr="006362A9" w:rsidRDefault="001C614D" w:rsidP="00055DB8">
            <w:pPr>
              <w:pStyle w:val="Note"/>
              <w:jc w:val="left"/>
            </w:pPr>
            <w:r w:rsidRPr="006362A9">
              <w:rPr>
                <w:rStyle w:val="NoteLabel"/>
              </w:rPr>
              <w:t>i</w:t>
            </w:r>
            <w:r w:rsidR="008C75A2" w:rsidRPr="006362A9">
              <w:t xml:space="preserve"> </w:t>
            </w:r>
            <w:r w:rsidR="008C75A2" w:rsidRPr="006362A9">
              <w:rPr>
                <w:b/>
                <w:bCs/>
              </w:rPr>
              <w:t>Tas</w:t>
            </w:r>
            <w:r w:rsidR="008C75A2" w:rsidRPr="006362A9">
              <w:t xml:space="preserve">: Income limits updated regularly based on Low Income Health Care Card eligibility. </w:t>
            </w:r>
          </w:p>
          <w:p w14:paraId="7614D0AD" w14:textId="7058B832" w:rsidR="008C75A2" w:rsidRPr="006362A9" w:rsidRDefault="001C614D" w:rsidP="00055DB8">
            <w:pPr>
              <w:pStyle w:val="Note"/>
              <w:jc w:val="left"/>
              <w:rPr>
                <w:rStyle w:val="NoteLabel"/>
                <w:b w:val="0"/>
                <w:position w:val="0"/>
              </w:rPr>
            </w:pPr>
            <w:r w:rsidRPr="006362A9">
              <w:rPr>
                <w:rStyle w:val="NoteLabel"/>
              </w:rPr>
              <w:t>j</w:t>
            </w:r>
            <w:r w:rsidR="008C75A2" w:rsidRPr="006362A9">
              <w:t> </w:t>
            </w:r>
            <w:r w:rsidR="008C75A2" w:rsidRPr="006362A9">
              <w:rPr>
                <w:b/>
                <w:bCs/>
              </w:rPr>
              <w:t>ACT</w:t>
            </w:r>
            <w:r w:rsidR="008C75A2" w:rsidRPr="006362A9">
              <w:t>: Tenancy review: income exceeding $103,582 in consecutive years and sustainable in the longer term. Fixed term tenancies: tenants with poor tenancy history required to access support and follow additional tenancy terms for 12 months; tenancy termination is possible if terms not followed.</w:t>
            </w:r>
          </w:p>
          <w:p w14:paraId="179681D9" w14:textId="3A619361" w:rsidR="008C75A2" w:rsidRPr="00BB797F" w:rsidRDefault="00874D5D" w:rsidP="00055DB8">
            <w:pPr>
              <w:pStyle w:val="Note"/>
              <w:rPr>
                <w:bCs/>
              </w:rPr>
            </w:pPr>
            <w:r w:rsidRPr="006362A9">
              <w:rPr>
                <w:rStyle w:val="NoteLabel"/>
                <w:bCs/>
              </w:rPr>
              <w:t>k</w:t>
            </w:r>
            <w:r w:rsidR="001C614D" w:rsidRPr="006362A9">
              <w:rPr>
                <w:rStyle w:val="NoteLabel"/>
                <w:bCs/>
              </w:rPr>
              <w:t xml:space="preserve"> </w:t>
            </w:r>
            <w:r w:rsidR="008C75A2" w:rsidRPr="006362A9">
              <w:rPr>
                <w:rStyle w:val="NoteLabel"/>
                <w:bCs/>
                <w:position w:val="0"/>
              </w:rPr>
              <w:t>NT:</w:t>
            </w:r>
            <w:r w:rsidR="004C67FB" w:rsidRPr="006362A9">
              <w:rPr>
                <w:rStyle w:val="NoteLabel"/>
                <w:bCs/>
                <w:position w:val="0"/>
              </w:rPr>
              <w:t xml:space="preserve"> </w:t>
            </w:r>
            <w:r w:rsidR="004C67FB" w:rsidRPr="006362A9">
              <w:rPr>
                <w:rStyle w:val="NoteLabel"/>
                <w:b w:val="0"/>
                <w:position w:val="0"/>
              </w:rPr>
              <w:t>The household asset limit applies to new applicants or existing tenants under 55 years. For existing tenants over 55 years, the limit is $</w:t>
            </w:r>
            <w:r w:rsidR="004C67FB" w:rsidRPr="006362A9">
              <w:t>256</w:t>
            </w:r>
            <w:r w:rsidR="002C7BF2" w:rsidRPr="006362A9">
              <w:t> </w:t>
            </w:r>
            <w:r w:rsidR="004C67FB" w:rsidRPr="006362A9">
              <w:t>707</w:t>
            </w:r>
            <w:r w:rsidR="004C67FB" w:rsidRPr="006362A9">
              <w:rPr>
                <w:rStyle w:val="NoteLabel"/>
                <w:b w:val="0"/>
                <w:position w:val="0"/>
              </w:rPr>
              <w:t xml:space="preserve"> (single</w:t>
            </w:r>
            <w:r w:rsidR="004C67FB" w:rsidRPr="004C67FB">
              <w:rPr>
                <w:rStyle w:val="NoteLabel"/>
                <w:b w:val="0"/>
                <w:position w:val="0"/>
              </w:rPr>
              <w:t>, no dependants).</w:t>
            </w:r>
          </w:p>
        </w:tc>
      </w:tr>
      <w:tr w:rsidR="008C75A2" w14:paraId="4CE14BB9" w14:textId="77777777" w:rsidTr="4E7DCBFD">
        <w:tc>
          <w:tcPr>
            <w:tcW w:w="5000" w:type="pct"/>
            <w:tcBorders>
              <w:top w:val="nil"/>
              <w:bottom w:val="nil"/>
            </w:tcBorders>
            <w:shd w:val="clear" w:color="auto" w:fill="auto"/>
          </w:tcPr>
          <w:p w14:paraId="149FADF5" w14:textId="77777777" w:rsidR="008C75A2" w:rsidRDefault="008C75A2" w:rsidP="00055DB8">
            <w:pPr>
              <w:pStyle w:val="Source"/>
            </w:pPr>
            <w:r w:rsidRPr="00FB20F1">
              <w:t>Source</w:t>
            </w:r>
            <w:r w:rsidRPr="00167F06">
              <w:t xml:space="preserve">: </w:t>
            </w:r>
            <w:r w:rsidRPr="00F84C92">
              <w:t>State and Terri</w:t>
            </w:r>
            <w:r>
              <w:t>tory governments (unpublished).</w:t>
            </w:r>
          </w:p>
        </w:tc>
      </w:tr>
      <w:tr w:rsidR="008C75A2" w14:paraId="238AD76C" w14:textId="77777777" w:rsidTr="4E7DCBFD">
        <w:tc>
          <w:tcPr>
            <w:tcW w:w="5000" w:type="pct"/>
            <w:tcBorders>
              <w:top w:val="nil"/>
              <w:bottom w:val="single" w:sz="4" w:space="0" w:color="78A22F" w:themeColor="accent1"/>
            </w:tcBorders>
            <w:shd w:val="clear" w:color="auto" w:fill="auto"/>
          </w:tcPr>
          <w:p w14:paraId="7A22C920" w14:textId="77777777" w:rsidR="008C75A2" w:rsidRDefault="008C75A2" w:rsidP="00055DB8">
            <w:pPr>
              <w:pStyle w:val="Box"/>
              <w:spacing w:before="0" w:line="120" w:lineRule="exact"/>
            </w:pPr>
          </w:p>
        </w:tc>
      </w:tr>
      <w:tr w:rsidR="008C75A2" w:rsidRPr="00FB20F1" w14:paraId="14624D94" w14:textId="77777777" w:rsidTr="4E7DCBFD">
        <w:tc>
          <w:tcPr>
            <w:tcW w:w="5000" w:type="pct"/>
            <w:tcBorders>
              <w:top w:val="single" w:sz="4" w:space="0" w:color="78A22F" w:themeColor="accent1"/>
              <w:bottom w:val="nil"/>
            </w:tcBorders>
            <w:shd w:val="clear" w:color="auto" w:fill="auto"/>
          </w:tcPr>
          <w:p w14:paraId="20771B62" w14:textId="77777777" w:rsidR="008C75A2" w:rsidRPr="00626D32" w:rsidRDefault="008C75A2" w:rsidP="00055DB8">
            <w:pPr>
              <w:pStyle w:val="BoxSpaceBelow"/>
            </w:pPr>
          </w:p>
        </w:tc>
      </w:tr>
    </w:tbl>
    <w:p w14:paraId="1A46EB7A" w14:textId="77777777" w:rsidR="008C75A2" w:rsidRDefault="008C75A2" w:rsidP="008C75A2">
      <w:pPr>
        <w:tabs>
          <w:tab w:val="left" w:pos="10632"/>
        </w:tabs>
      </w:pPr>
    </w:p>
    <w:p w14:paraId="7EABED04" w14:textId="785A3674" w:rsidR="0074554C" w:rsidRDefault="0074554C" w:rsidP="00A83249">
      <w:pPr>
        <w:pStyle w:val="BodyText"/>
      </w:pPr>
    </w:p>
    <w:p w14:paraId="37E7EF69" w14:textId="77777777" w:rsidR="00042426" w:rsidRDefault="00042426" w:rsidP="00A83249">
      <w:pPr>
        <w:pStyle w:val="BodyText"/>
      </w:pPr>
    </w:p>
    <w:p w14:paraId="62E4E14D" w14:textId="01A43BA4" w:rsidR="00451A5D" w:rsidRDefault="00451A5D" w:rsidP="00A83249">
      <w:pPr>
        <w:pStyle w:val="BodyText"/>
      </w:pPr>
    </w:p>
    <w:p w14:paraId="1490AEF0" w14:textId="0D93F50C" w:rsidR="00EC681C" w:rsidRDefault="00EC681C" w:rsidP="00A83249">
      <w:pPr>
        <w:pStyle w:val="BodyText"/>
      </w:pPr>
    </w:p>
    <w:p w14:paraId="0AFCA91A" w14:textId="77777777" w:rsidR="00971953" w:rsidRDefault="00971953" w:rsidP="00971953">
      <w:pPr>
        <w:pStyle w:val="BoxSpaceAbove"/>
        <w:keepLines/>
      </w:pPr>
      <w:r>
        <w:lastRenderedPageBreak/>
        <w:tab/>
      </w: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971953" w14:paraId="262F60F2" w14:textId="77777777" w:rsidTr="00055DB8">
        <w:trPr>
          <w:tblHeader/>
        </w:trPr>
        <w:tc>
          <w:tcPr>
            <w:tcW w:w="5000" w:type="pct"/>
            <w:shd w:val="clear" w:color="auto" w:fill="auto"/>
          </w:tcPr>
          <w:p w14:paraId="19EFF8FA" w14:textId="1E6A89D0" w:rsidR="00971953" w:rsidRPr="001200AD" w:rsidRDefault="00971953" w:rsidP="00055DB8">
            <w:pPr>
              <w:pStyle w:val="TableTitle"/>
              <w:rPr>
                <w:b w:val="0"/>
                <w:bCs/>
                <w:color w:val="C00000"/>
                <w:sz w:val="18"/>
                <w:szCs w:val="18"/>
              </w:rPr>
            </w:pPr>
            <w:bookmarkStart w:id="6" w:name="_Hlk76728256"/>
            <w:r>
              <w:rPr>
                <w:b w:val="0"/>
              </w:rPr>
              <w:t>Table 18.2</w:t>
            </w:r>
            <w:r>
              <w:tab/>
            </w:r>
            <w:r w:rsidRPr="00730EDB">
              <w:t xml:space="preserve">State owned and managed Indigenous housing policy context, </w:t>
            </w:r>
            <w:r w:rsidRPr="00F53AA6">
              <w:t>202</w:t>
            </w:r>
            <w:r w:rsidR="00055DB8">
              <w:t>1</w:t>
            </w:r>
            <w:r w:rsidRPr="00F26846">
              <w:rPr>
                <w:rStyle w:val="NoteLabel"/>
                <w:b/>
                <w:bCs/>
              </w:rPr>
              <w:t>a, b, c</w:t>
            </w:r>
          </w:p>
        </w:tc>
      </w:tr>
      <w:tr w:rsidR="005760C1" w:rsidRPr="005760C1" w14:paraId="207CDF24" w14:textId="77777777" w:rsidTr="00055DB8">
        <w:tc>
          <w:tcPr>
            <w:tcW w:w="5000" w:type="pct"/>
            <w:shd w:val="clear" w:color="auto" w:fill="auto"/>
          </w:tcPr>
          <w:tbl>
            <w:tblPr>
              <w:tblW w:w="0" w:type="auto"/>
              <w:tblCellMar>
                <w:top w:w="28" w:type="dxa"/>
                <w:left w:w="0" w:type="dxa"/>
                <w:right w:w="0" w:type="dxa"/>
              </w:tblCellMar>
              <w:tblLook w:val="0000" w:firstRow="0" w:lastRow="0" w:firstColumn="0" w:lastColumn="0" w:noHBand="0" w:noVBand="0"/>
            </w:tblPr>
            <w:tblGrid>
              <w:gridCol w:w="2258"/>
              <w:gridCol w:w="1899"/>
              <w:gridCol w:w="1286"/>
              <w:gridCol w:w="1270"/>
              <w:gridCol w:w="3431"/>
              <w:gridCol w:w="1526"/>
              <w:gridCol w:w="1648"/>
              <w:gridCol w:w="6"/>
            </w:tblGrid>
            <w:tr w:rsidR="005760C1" w:rsidRPr="005760C1" w14:paraId="321ECF47" w14:textId="77777777" w:rsidTr="00055DB8">
              <w:trPr>
                <w:gridAfter w:val="1"/>
                <w:wAfter w:w="6" w:type="dxa"/>
                <w:trHeight w:val="276"/>
                <w:tblHeader/>
              </w:trPr>
              <w:tc>
                <w:tcPr>
                  <w:tcW w:w="0" w:type="auto"/>
                  <w:tcBorders>
                    <w:top w:val="single" w:sz="6" w:space="0" w:color="BFBFBF"/>
                    <w:bottom w:val="single" w:sz="6" w:space="0" w:color="BFBFBF"/>
                  </w:tcBorders>
                  <w:shd w:val="clear" w:color="auto" w:fill="auto"/>
                  <w:tcMar>
                    <w:top w:w="28" w:type="dxa"/>
                  </w:tcMar>
                </w:tcPr>
                <w:p w14:paraId="02A6DA64" w14:textId="77777777" w:rsidR="00971953" w:rsidRPr="005760C1" w:rsidRDefault="00971953" w:rsidP="00055DB8">
                  <w:pPr>
                    <w:pStyle w:val="TableColumnHeading"/>
                    <w:jc w:val="left"/>
                  </w:pPr>
                </w:p>
              </w:tc>
              <w:tc>
                <w:tcPr>
                  <w:tcW w:w="0" w:type="auto"/>
                  <w:tcBorders>
                    <w:top w:val="single" w:sz="6" w:space="0" w:color="BFBFBF"/>
                    <w:bottom w:val="single" w:sz="6" w:space="0" w:color="BFBFBF"/>
                  </w:tcBorders>
                </w:tcPr>
                <w:p w14:paraId="5614E3D3" w14:textId="482CD83C" w:rsidR="00971953" w:rsidRPr="00EB119D" w:rsidRDefault="00971953" w:rsidP="003A58D2">
                  <w:pPr>
                    <w:pStyle w:val="TableColumnHeading"/>
                    <w:jc w:val="center"/>
                  </w:pPr>
                  <w:r w:rsidRPr="00EB119D">
                    <w:t>NSW</w:t>
                  </w:r>
                  <w:r w:rsidRPr="0044255B">
                    <w:rPr>
                      <w:rStyle w:val="NoteLabel"/>
                    </w:rPr>
                    <w:t>d</w:t>
                  </w:r>
                </w:p>
              </w:tc>
              <w:tc>
                <w:tcPr>
                  <w:tcW w:w="0" w:type="auto"/>
                  <w:gridSpan w:val="2"/>
                  <w:tcBorders>
                    <w:top w:val="single" w:sz="6" w:space="0" w:color="BFBFBF"/>
                    <w:bottom w:val="single" w:sz="6" w:space="0" w:color="BFBFBF"/>
                  </w:tcBorders>
                  <w:shd w:val="clear" w:color="auto" w:fill="auto"/>
                  <w:tcMar>
                    <w:top w:w="28" w:type="dxa"/>
                  </w:tcMar>
                </w:tcPr>
                <w:p w14:paraId="7A750A04" w14:textId="7B704B49" w:rsidR="00971953" w:rsidRPr="00EB119D" w:rsidRDefault="00971953" w:rsidP="003A58D2">
                  <w:pPr>
                    <w:pStyle w:val="TableColumnHeading"/>
                    <w:jc w:val="center"/>
                  </w:pPr>
                  <w:r w:rsidRPr="00EB119D">
                    <w:t>Qld</w:t>
                  </w:r>
                  <w:r w:rsidRPr="00175441">
                    <w:rPr>
                      <w:rStyle w:val="NoteLabel"/>
                      <w:bCs/>
                    </w:rPr>
                    <w:t>e</w:t>
                  </w:r>
                </w:p>
              </w:tc>
              <w:tc>
                <w:tcPr>
                  <w:tcW w:w="0" w:type="auto"/>
                  <w:tcBorders>
                    <w:top w:val="single" w:sz="6" w:space="0" w:color="BFBFBF"/>
                    <w:bottom w:val="single" w:sz="6" w:space="0" w:color="BFBFBF"/>
                  </w:tcBorders>
                </w:tcPr>
                <w:p w14:paraId="770E2FAA" w14:textId="12A27EF5" w:rsidR="00971953" w:rsidRPr="00EB119D" w:rsidRDefault="00971953" w:rsidP="003A58D2">
                  <w:pPr>
                    <w:pStyle w:val="TableColumnHeading"/>
                    <w:jc w:val="center"/>
                  </w:pPr>
                  <w:r w:rsidRPr="00EB119D">
                    <w:t>SA</w:t>
                  </w:r>
                  <w:r w:rsidRPr="00EB119D">
                    <w:rPr>
                      <w:rStyle w:val="NoteLabel"/>
                    </w:rPr>
                    <w:t>f</w:t>
                  </w:r>
                </w:p>
              </w:tc>
              <w:tc>
                <w:tcPr>
                  <w:tcW w:w="0" w:type="auto"/>
                  <w:tcBorders>
                    <w:top w:val="single" w:sz="6" w:space="0" w:color="BFBFBF"/>
                    <w:bottom w:val="single" w:sz="6" w:space="0" w:color="BFBFBF"/>
                  </w:tcBorders>
                </w:tcPr>
                <w:p w14:paraId="76478278" w14:textId="7762EA71" w:rsidR="00971953" w:rsidRPr="00EB119D" w:rsidRDefault="00971953" w:rsidP="003A58D2">
                  <w:pPr>
                    <w:pStyle w:val="TableColumnHeading"/>
                    <w:jc w:val="center"/>
                  </w:pPr>
                  <w:r w:rsidRPr="00EB119D">
                    <w:t>Tas</w:t>
                  </w:r>
                  <w:r w:rsidRPr="00175441">
                    <w:rPr>
                      <w:rStyle w:val="NoteLabel"/>
                      <w:bCs/>
                    </w:rPr>
                    <w:t>g</w:t>
                  </w:r>
                </w:p>
              </w:tc>
              <w:tc>
                <w:tcPr>
                  <w:tcW w:w="1648" w:type="dxa"/>
                  <w:tcBorders>
                    <w:top w:val="single" w:sz="6" w:space="0" w:color="BFBFBF"/>
                    <w:bottom w:val="single" w:sz="6" w:space="0" w:color="BFBFBF"/>
                  </w:tcBorders>
                </w:tcPr>
                <w:p w14:paraId="30651D39" w14:textId="05241D94" w:rsidR="00971953" w:rsidRPr="00EB119D" w:rsidRDefault="00971953" w:rsidP="003A58D2">
                  <w:pPr>
                    <w:pStyle w:val="TableColumnHeading"/>
                    <w:ind w:right="28"/>
                    <w:jc w:val="center"/>
                    <w:rPr>
                      <w:b/>
                      <w:bCs/>
                    </w:rPr>
                  </w:pPr>
                  <w:r w:rsidRPr="00EB119D">
                    <w:t>NT</w:t>
                  </w:r>
                  <w:r w:rsidRPr="003C6B2C">
                    <w:rPr>
                      <w:rStyle w:val="NoteLabel"/>
                      <w:bCs/>
                    </w:rPr>
                    <w:t>h</w:t>
                  </w:r>
                </w:p>
              </w:tc>
            </w:tr>
            <w:tr w:rsidR="005760C1" w:rsidRPr="005760C1" w14:paraId="75D24FF7" w14:textId="77777777" w:rsidTr="00055DB8">
              <w:tc>
                <w:tcPr>
                  <w:tcW w:w="13324" w:type="dxa"/>
                  <w:gridSpan w:val="8"/>
                  <w:tcBorders>
                    <w:top w:val="single" w:sz="6" w:space="0" w:color="BFBFBF"/>
                  </w:tcBorders>
                </w:tcPr>
                <w:p w14:paraId="630299C7" w14:textId="77777777" w:rsidR="00971953" w:rsidRPr="005760C1" w:rsidRDefault="00971953" w:rsidP="00055DB8">
                  <w:pPr>
                    <w:pStyle w:val="TableUnitsRow"/>
                    <w:ind w:right="28"/>
                    <w:jc w:val="left"/>
                  </w:pPr>
                  <w:r w:rsidRPr="005760C1">
                    <w:rPr>
                      <w:rFonts w:cs="Arial"/>
                      <w:b/>
                      <w:szCs w:val="18"/>
                    </w:rPr>
                    <w:t xml:space="preserve">Eligibility — </w:t>
                  </w:r>
                  <w:r w:rsidRPr="005760C1">
                    <w:rPr>
                      <w:rFonts w:cs="Arial"/>
                      <w:szCs w:val="18"/>
                    </w:rPr>
                    <w:t>Income and other asset limits</w:t>
                  </w:r>
                  <w:r w:rsidRPr="005760C1">
                    <w:rPr>
                      <w:rFonts w:cs="Arial"/>
                      <w:b/>
                      <w:szCs w:val="18"/>
                    </w:rPr>
                    <w:t xml:space="preserve"> </w:t>
                  </w:r>
                  <w:r w:rsidRPr="005760C1">
                    <w:t>vary depending on household type [number of people in the household]</w:t>
                  </w:r>
                </w:p>
              </w:tc>
            </w:tr>
            <w:tr w:rsidR="005760C1" w:rsidRPr="005760C1" w14:paraId="7768C1F7" w14:textId="77777777" w:rsidTr="008D6A24">
              <w:trPr>
                <w:gridAfter w:val="1"/>
                <w:wAfter w:w="6" w:type="dxa"/>
              </w:trPr>
              <w:tc>
                <w:tcPr>
                  <w:tcW w:w="0" w:type="auto"/>
                </w:tcPr>
                <w:p w14:paraId="2052AD6B" w14:textId="77777777" w:rsidR="00971953" w:rsidRPr="005760C1" w:rsidRDefault="00971953" w:rsidP="00055DB8">
                  <w:pPr>
                    <w:pStyle w:val="TableUnitsRow"/>
                    <w:jc w:val="left"/>
                  </w:pPr>
                  <w:r w:rsidRPr="005760C1">
                    <w:t>Income limit per week ($)</w:t>
                  </w:r>
                </w:p>
              </w:tc>
              <w:tc>
                <w:tcPr>
                  <w:tcW w:w="0" w:type="auto"/>
                  <w:shd w:val="clear" w:color="auto" w:fill="auto"/>
                </w:tcPr>
                <w:p w14:paraId="1ED3B0EC" w14:textId="77777777" w:rsidR="00971953" w:rsidRPr="006362A9" w:rsidRDefault="00971953" w:rsidP="00055DB8">
                  <w:pPr>
                    <w:pStyle w:val="TableUnitsRow"/>
                    <w:jc w:val="center"/>
                  </w:pPr>
                  <w:r w:rsidRPr="006362A9">
                    <w:t xml:space="preserve">655 (gross) </w:t>
                  </w:r>
                  <w:r w:rsidRPr="006362A9">
                    <w:rPr>
                      <w:szCs w:val="18"/>
                    </w:rPr>
                    <w:t>[1]</w:t>
                  </w:r>
                </w:p>
              </w:tc>
              <w:tc>
                <w:tcPr>
                  <w:tcW w:w="0" w:type="auto"/>
                  <w:gridSpan w:val="2"/>
                </w:tcPr>
                <w:p w14:paraId="3A37196A" w14:textId="77777777" w:rsidR="00971953" w:rsidRPr="006362A9" w:rsidRDefault="00971953" w:rsidP="00055DB8">
                  <w:pPr>
                    <w:pStyle w:val="TableUnitsRow"/>
                    <w:ind w:right="28"/>
                    <w:jc w:val="center"/>
                  </w:pPr>
                  <w:r w:rsidRPr="006362A9">
                    <w:t xml:space="preserve">609 </w:t>
                  </w:r>
                  <w:r w:rsidRPr="006362A9">
                    <w:rPr>
                      <w:szCs w:val="18"/>
                    </w:rPr>
                    <w:t>[1]</w:t>
                  </w:r>
                </w:p>
              </w:tc>
              <w:tc>
                <w:tcPr>
                  <w:tcW w:w="0" w:type="auto"/>
                </w:tcPr>
                <w:p w14:paraId="6ED6BC84" w14:textId="5A39EE02" w:rsidR="00971953" w:rsidRPr="006362A9" w:rsidRDefault="000E7D46" w:rsidP="00055DB8">
                  <w:pPr>
                    <w:pStyle w:val="TableUnitsRow"/>
                    <w:ind w:right="28"/>
                    <w:jc w:val="center"/>
                  </w:pPr>
                  <w:r w:rsidRPr="006362A9">
                    <w:t>1033</w:t>
                  </w:r>
                  <w:r w:rsidR="00971953" w:rsidRPr="006362A9">
                    <w:t xml:space="preserve"> </w:t>
                  </w:r>
                  <w:r w:rsidR="00971953" w:rsidRPr="006362A9">
                    <w:rPr>
                      <w:szCs w:val="18"/>
                    </w:rPr>
                    <w:t>[1]</w:t>
                  </w:r>
                </w:p>
              </w:tc>
              <w:tc>
                <w:tcPr>
                  <w:tcW w:w="0" w:type="auto"/>
                  <w:shd w:val="clear" w:color="auto" w:fill="auto"/>
                </w:tcPr>
                <w:p w14:paraId="3F0AF8F5" w14:textId="77777777" w:rsidR="00971953" w:rsidRPr="006362A9" w:rsidRDefault="00971953" w:rsidP="00055DB8">
                  <w:pPr>
                    <w:pStyle w:val="TableUnitsRow"/>
                    <w:ind w:right="28"/>
                    <w:jc w:val="center"/>
                  </w:pPr>
                  <w:r w:rsidRPr="006362A9">
                    <w:t xml:space="preserve">561 </w:t>
                  </w:r>
                  <w:r w:rsidRPr="006362A9">
                    <w:rPr>
                      <w:szCs w:val="18"/>
                    </w:rPr>
                    <w:t>[1]</w:t>
                  </w:r>
                </w:p>
              </w:tc>
              <w:tc>
                <w:tcPr>
                  <w:tcW w:w="1648" w:type="dxa"/>
                  <w:shd w:val="clear" w:color="auto" w:fill="auto"/>
                </w:tcPr>
                <w:p w14:paraId="22FDA327" w14:textId="77777777" w:rsidR="00971953" w:rsidRPr="006362A9" w:rsidRDefault="00971953" w:rsidP="00055DB8">
                  <w:pPr>
                    <w:pStyle w:val="TableUnitsRow"/>
                    <w:ind w:right="28"/>
                    <w:jc w:val="center"/>
                  </w:pPr>
                  <w:r w:rsidRPr="006362A9">
                    <w:t>..</w:t>
                  </w:r>
                </w:p>
              </w:tc>
            </w:tr>
            <w:tr w:rsidR="005760C1" w:rsidRPr="005760C1" w14:paraId="0C6E20B0" w14:textId="77777777" w:rsidTr="00055DB8">
              <w:trPr>
                <w:gridAfter w:val="1"/>
                <w:wAfter w:w="6" w:type="dxa"/>
                <w:trHeight w:val="517"/>
              </w:trPr>
              <w:tc>
                <w:tcPr>
                  <w:tcW w:w="0" w:type="auto"/>
                </w:tcPr>
                <w:p w14:paraId="08E626C8" w14:textId="77777777" w:rsidR="00971953" w:rsidRPr="005760C1" w:rsidRDefault="00971953" w:rsidP="00055DB8">
                  <w:pPr>
                    <w:pStyle w:val="TableBodyText"/>
                    <w:jc w:val="left"/>
                    <w:rPr>
                      <w:szCs w:val="18"/>
                    </w:rPr>
                  </w:pPr>
                  <w:r w:rsidRPr="005760C1">
                    <w:rPr>
                      <w:szCs w:val="18"/>
                    </w:rPr>
                    <w:t>Other asset limits ($)</w:t>
                  </w:r>
                </w:p>
              </w:tc>
              <w:tc>
                <w:tcPr>
                  <w:tcW w:w="0" w:type="auto"/>
                </w:tcPr>
                <w:p w14:paraId="006A787D" w14:textId="77777777" w:rsidR="00971953" w:rsidRPr="006362A9" w:rsidRDefault="00971953" w:rsidP="00055DB8">
                  <w:pPr>
                    <w:pStyle w:val="TableBodyText"/>
                    <w:jc w:val="center"/>
                    <w:rPr>
                      <w:szCs w:val="18"/>
                    </w:rPr>
                  </w:pPr>
                  <w:r w:rsidRPr="006362A9">
                    <w:rPr>
                      <w:szCs w:val="18"/>
                    </w:rPr>
                    <w:t>Nil</w:t>
                  </w:r>
                </w:p>
              </w:tc>
              <w:tc>
                <w:tcPr>
                  <w:tcW w:w="0" w:type="auto"/>
                  <w:gridSpan w:val="2"/>
                </w:tcPr>
                <w:p w14:paraId="0F9CFEDF" w14:textId="77777777" w:rsidR="00971953" w:rsidRPr="006362A9" w:rsidRDefault="00971953" w:rsidP="00055DB8">
                  <w:pPr>
                    <w:pStyle w:val="TableBodyText"/>
                    <w:ind w:right="28"/>
                    <w:jc w:val="center"/>
                    <w:rPr>
                      <w:szCs w:val="18"/>
                    </w:rPr>
                  </w:pPr>
                  <w:r w:rsidRPr="006362A9">
                    <w:rPr>
                      <w:szCs w:val="18"/>
                    </w:rPr>
                    <w:t>116 375 [1]</w:t>
                  </w:r>
                </w:p>
                <w:p w14:paraId="14EA71FB" w14:textId="77777777" w:rsidR="00971953" w:rsidRPr="006362A9" w:rsidRDefault="00971953" w:rsidP="00055DB8">
                  <w:pPr>
                    <w:pStyle w:val="TableBodyText"/>
                    <w:ind w:right="28"/>
                    <w:jc w:val="center"/>
                    <w:rPr>
                      <w:szCs w:val="18"/>
                    </w:rPr>
                  </w:pPr>
                  <w:r w:rsidRPr="006362A9">
                    <w:rPr>
                      <w:szCs w:val="18"/>
                    </w:rPr>
                    <w:t xml:space="preserve">148 625 [&gt;=2] </w:t>
                  </w:r>
                </w:p>
              </w:tc>
              <w:tc>
                <w:tcPr>
                  <w:tcW w:w="0" w:type="auto"/>
                  <w:shd w:val="clear" w:color="auto" w:fill="auto"/>
                </w:tcPr>
                <w:p w14:paraId="0123554F" w14:textId="77777777" w:rsidR="00971953" w:rsidRPr="006362A9" w:rsidRDefault="00971953" w:rsidP="00055DB8">
                  <w:pPr>
                    <w:pStyle w:val="TableBodyText"/>
                    <w:ind w:right="28"/>
                    <w:jc w:val="center"/>
                    <w:rPr>
                      <w:szCs w:val="18"/>
                    </w:rPr>
                  </w:pPr>
                  <w:r w:rsidRPr="006362A9">
                    <w:rPr>
                      <w:szCs w:val="18"/>
                    </w:rPr>
                    <w:t>473 750</w:t>
                  </w:r>
                  <w:r w:rsidRPr="006362A9">
                    <w:t xml:space="preserve"> </w:t>
                  </w:r>
                  <w:r w:rsidRPr="006362A9">
                    <w:rPr>
                      <w:szCs w:val="18"/>
                    </w:rPr>
                    <w:t xml:space="preserve"> [1]</w:t>
                  </w:r>
                </w:p>
                <w:p w14:paraId="438C6C7C" w14:textId="1F39FC40" w:rsidR="00971953" w:rsidRPr="006362A9" w:rsidRDefault="00A836D3" w:rsidP="00055DB8">
                  <w:pPr>
                    <w:pStyle w:val="TableBodyText"/>
                    <w:ind w:right="28"/>
                    <w:jc w:val="center"/>
                    <w:rPr>
                      <w:szCs w:val="18"/>
                    </w:rPr>
                  </w:pPr>
                  <w:r w:rsidRPr="006362A9">
                    <w:rPr>
                      <w:szCs w:val="18"/>
                    </w:rPr>
                    <w:t>616 000</w:t>
                  </w:r>
                  <w:r w:rsidR="00971953" w:rsidRPr="006362A9">
                    <w:rPr>
                      <w:szCs w:val="18"/>
                    </w:rPr>
                    <w:t xml:space="preserve"> [&gt;=2]</w:t>
                  </w:r>
                </w:p>
                <w:p w14:paraId="7D2ABCC1" w14:textId="77777777" w:rsidR="00971953" w:rsidRPr="006362A9" w:rsidRDefault="00971953" w:rsidP="00055DB8">
                  <w:pPr>
                    <w:pStyle w:val="TableBodyText"/>
                    <w:ind w:right="28"/>
                    <w:jc w:val="center"/>
                    <w:rPr>
                      <w:szCs w:val="18"/>
                    </w:rPr>
                  </w:pPr>
                </w:p>
              </w:tc>
              <w:tc>
                <w:tcPr>
                  <w:tcW w:w="0" w:type="auto"/>
                </w:tcPr>
                <w:p w14:paraId="6B9834CB" w14:textId="77777777" w:rsidR="00971953" w:rsidRPr="006362A9" w:rsidRDefault="00971953" w:rsidP="00055DB8">
                  <w:pPr>
                    <w:pStyle w:val="TableBodyText"/>
                    <w:ind w:right="28"/>
                    <w:jc w:val="center"/>
                    <w:rPr>
                      <w:szCs w:val="18"/>
                    </w:rPr>
                  </w:pPr>
                  <w:r w:rsidRPr="006362A9">
                    <w:rPr>
                      <w:szCs w:val="18"/>
                    </w:rPr>
                    <w:t>35 000</w:t>
                  </w:r>
                </w:p>
              </w:tc>
              <w:tc>
                <w:tcPr>
                  <w:tcW w:w="1648" w:type="dxa"/>
                </w:tcPr>
                <w:p w14:paraId="492E332D" w14:textId="77777777" w:rsidR="00971953" w:rsidRPr="006362A9" w:rsidRDefault="00971953" w:rsidP="00055DB8">
                  <w:pPr>
                    <w:pStyle w:val="TableBodyText"/>
                    <w:ind w:right="28"/>
                    <w:jc w:val="center"/>
                    <w:rPr>
                      <w:szCs w:val="18"/>
                    </w:rPr>
                  </w:pPr>
                  <w:r w:rsidRPr="006362A9">
                    <w:rPr>
                      <w:szCs w:val="18"/>
                    </w:rPr>
                    <w:t>..</w:t>
                  </w:r>
                </w:p>
              </w:tc>
            </w:tr>
            <w:tr w:rsidR="005760C1" w:rsidRPr="005760C1" w14:paraId="0672E62E" w14:textId="77777777" w:rsidTr="00055DB8">
              <w:trPr>
                <w:gridAfter w:val="1"/>
                <w:wAfter w:w="6" w:type="dxa"/>
              </w:trPr>
              <w:tc>
                <w:tcPr>
                  <w:tcW w:w="0" w:type="auto"/>
                  <w:shd w:val="clear" w:color="auto" w:fill="auto"/>
                </w:tcPr>
                <w:p w14:paraId="77E8C385" w14:textId="77777777" w:rsidR="00971953" w:rsidRPr="005760C1" w:rsidRDefault="00971953" w:rsidP="00055DB8">
                  <w:pPr>
                    <w:pStyle w:val="TableBodyText"/>
                    <w:jc w:val="left"/>
                  </w:pPr>
                  <w:r w:rsidRPr="005760C1">
                    <w:t>Minimum age (years)</w:t>
                  </w:r>
                </w:p>
              </w:tc>
              <w:tc>
                <w:tcPr>
                  <w:tcW w:w="0" w:type="auto"/>
                </w:tcPr>
                <w:p w14:paraId="37A1BF60" w14:textId="77777777" w:rsidR="00971953" w:rsidRPr="006362A9" w:rsidRDefault="00971953" w:rsidP="00055DB8">
                  <w:pPr>
                    <w:pStyle w:val="TableBodyText"/>
                    <w:jc w:val="center"/>
                  </w:pPr>
                  <w:r w:rsidRPr="006362A9">
                    <w:t>18</w:t>
                  </w:r>
                </w:p>
              </w:tc>
              <w:tc>
                <w:tcPr>
                  <w:tcW w:w="0" w:type="auto"/>
                  <w:gridSpan w:val="2"/>
                  <w:shd w:val="clear" w:color="auto" w:fill="auto"/>
                </w:tcPr>
                <w:p w14:paraId="53379BAB" w14:textId="77777777" w:rsidR="00971953" w:rsidRPr="006362A9" w:rsidRDefault="00971953" w:rsidP="00055DB8">
                  <w:pPr>
                    <w:pStyle w:val="TableBodyText"/>
                    <w:ind w:right="28"/>
                    <w:jc w:val="center"/>
                  </w:pPr>
                  <w:r w:rsidRPr="006362A9">
                    <w:t>None</w:t>
                  </w:r>
                </w:p>
              </w:tc>
              <w:tc>
                <w:tcPr>
                  <w:tcW w:w="0" w:type="auto"/>
                </w:tcPr>
                <w:p w14:paraId="175BC824" w14:textId="77777777" w:rsidR="00971953" w:rsidRPr="006362A9" w:rsidRDefault="00971953" w:rsidP="00055DB8">
                  <w:pPr>
                    <w:pStyle w:val="TableBodyText"/>
                    <w:ind w:right="28"/>
                    <w:jc w:val="center"/>
                  </w:pPr>
                  <w:r w:rsidRPr="006362A9">
                    <w:t>None</w:t>
                  </w:r>
                </w:p>
              </w:tc>
              <w:tc>
                <w:tcPr>
                  <w:tcW w:w="0" w:type="auto"/>
                </w:tcPr>
                <w:p w14:paraId="3719B876" w14:textId="77777777" w:rsidR="00971953" w:rsidRPr="006362A9" w:rsidRDefault="00971953" w:rsidP="00055DB8">
                  <w:pPr>
                    <w:pStyle w:val="TableBodyText"/>
                    <w:ind w:right="28"/>
                    <w:jc w:val="center"/>
                  </w:pPr>
                  <w:r w:rsidRPr="006362A9">
                    <w:t>16</w:t>
                  </w:r>
                </w:p>
              </w:tc>
              <w:tc>
                <w:tcPr>
                  <w:tcW w:w="1648" w:type="dxa"/>
                </w:tcPr>
                <w:p w14:paraId="70C66739" w14:textId="77777777" w:rsidR="00971953" w:rsidRPr="006362A9" w:rsidRDefault="00971953" w:rsidP="00055DB8">
                  <w:pPr>
                    <w:pStyle w:val="TableBodyText"/>
                    <w:ind w:right="28"/>
                    <w:jc w:val="center"/>
                  </w:pPr>
                  <w:r w:rsidRPr="006362A9">
                    <w:t>16</w:t>
                  </w:r>
                </w:p>
              </w:tc>
            </w:tr>
            <w:tr w:rsidR="005760C1" w:rsidRPr="005760C1" w14:paraId="75D0E6CB" w14:textId="77777777" w:rsidTr="00055DB8">
              <w:trPr>
                <w:gridAfter w:val="1"/>
                <w:wAfter w:w="6" w:type="dxa"/>
                <w:trHeight w:val="580"/>
              </w:trPr>
              <w:tc>
                <w:tcPr>
                  <w:tcW w:w="0" w:type="auto"/>
                  <w:shd w:val="clear" w:color="auto" w:fill="auto"/>
                </w:tcPr>
                <w:p w14:paraId="00F5188E" w14:textId="77777777" w:rsidR="00971953" w:rsidRPr="005760C1" w:rsidRDefault="00971953" w:rsidP="00055DB8">
                  <w:pPr>
                    <w:pStyle w:val="TableBodyText"/>
                    <w:jc w:val="left"/>
                    <w:rPr>
                      <w:b/>
                      <w:szCs w:val="18"/>
                    </w:rPr>
                  </w:pPr>
                  <w:r w:rsidRPr="005760C1">
                    <w:rPr>
                      <w:b/>
                      <w:szCs w:val="18"/>
                    </w:rPr>
                    <w:t>Waiting list:</w:t>
                  </w:r>
                </w:p>
                <w:p w14:paraId="55BBA8A5" w14:textId="77777777" w:rsidR="00971953" w:rsidRPr="005760C1" w:rsidRDefault="00971953" w:rsidP="00055DB8">
                  <w:pPr>
                    <w:pStyle w:val="TableBodyText"/>
                    <w:jc w:val="left"/>
                    <w:rPr>
                      <w:b/>
                      <w:szCs w:val="18"/>
                    </w:rPr>
                  </w:pPr>
                  <w:r w:rsidRPr="005760C1">
                    <w:rPr>
                      <w:szCs w:val="18"/>
                    </w:rPr>
                    <w:t>Segment by</w:t>
                  </w:r>
                  <w:r w:rsidRPr="005760C1">
                    <w:rPr>
                      <w:b/>
                      <w:szCs w:val="18"/>
                    </w:rPr>
                    <w:tab/>
                  </w:r>
                </w:p>
              </w:tc>
              <w:tc>
                <w:tcPr>
                  <w:tcW w:w="0" w:type="auto"/>
                </w:tcPr>
                <w:p w14:paraId="1B41B077" w14:textId="77777777" w:rsidR="00971953" w:rsidRPr="006362A9" w:rsidRDefault="00971953" w:rsidP="00055DB8">
                  <w:pPr>
                    <w:pStyle w:val="TableBodyText"/>
                    <w:jc w:val="center"/>
                    <w:rPr>
                      <w:szCs w:val="18"/>
                    </w:rPr>
                  </w:pPr>
                  <w:r w:rsidRPr="006362A9">
                    <w:rPr>
                      <w:szCs w:val="18"/>
                    </w:rPr>
                    <w:t>Single list of approved clients</w:t>
                  </w:r>
                </w:p>
              </w:tc>
              <w:tc>
                <w:tcPr>
                  <w:tcW w:w="0" w:type="auto"/>
                  <w:gridSpan w:val="2"/>
                  <w:shd w:val="clear" w:color="auto" w:fill="auto"/>
                </w:tcPr>
                <w:p w14:paraId="421B8119" w14:textId="77777777" w:rsidR="00971953" w:rsidRPr="006362A9" w:rsidRDefault="00971953" w:rsidP="00055DB8">
                  <w:pPr>
                    <w:pStyle w:val="TableBodyText"/>
                    <w:ind w:right="28"/>
                    <w:jc w:val="center"/>
                    <w:rPr>
                      <w:szCs w:val="18"/>
                    </w:rPr>
                  </w:pPr>
                  <w:r w:rsidRPr="006362A9">
                    <w:rPr>
                      <w:szCs w:val="18"/>
                    </w:rPr>
                    <w:t>Need (four segments)</w:t>
                  </w:r>
                </w:p>
              </w:tc>
              <w:tc>
                <w:tcPr>
                  <w:tcW w:w="0" w:type="auto"/>
                </w:tcPr>
                <w:p w14:paraId="34347AF1" w14:textId="77777777" w:rsidR="00971953" w:rsidRPr="006362A9" w:rsidRDefault="00971953" w:rsidP="00055DB8">
                  <w:pPr>
                    <w:pStyle w:val="TableBodyText"/>
                    <w:ind w:right="28"/>
                    <w:jc w:val="center"/>
                    <w:rPr>
                      <w:szCs w:val="18"/>
                    </w:rPr>
                  </w:pPr>
                  <w:r w:rsidRPr="006362A9">
                    <w:rPr>
                      <w:rFonts w:cs="Arial"/>
                      <w:szCs w:val="18"/>
                    </w:rPr>
                    <w:t>Need (four segments)</w:t>
                  </w:r>
                </w:p>
              </w:tc>
              <w:tc>
                <w:tcPr>
                  <w:tcW w:w="0" w:type="auto"/>
                </w:tcPr>
                <w:p w14:paraId="5C5D47BD" w14:textId="77777777" w:rsidR="00971953" w:rsidRPr="006362A9" w:rsidRDefault="00971953" w:rsidP="00055DB8">
                  <w:pPr>
                    <w:pStyle w:val="TableBodyText"/>
                    <w:ind w:right="28"/>
                    <w:jc w:val="center"/>
                    <w:rPr>
                      <w:szCs w:val="18"/>
                    </w:rPr>
                  </w:pPr>
                  <w:r w:rsidRPr="006362A9">
                    <w:rPr>
                      <w:rFonts w:cs="Arial"/>
                      <w:szCs w:val="18"/>
                    </w:rPr>
                    <w:t>Need (three segments)</w:t>
                  </w:r>
                </w:p>
              </w:tc>
              <w:tc>
                <w:tcPr>
                  <w:tcW w:w="1648" w:type="dxa"/>
                </w:tcPr>
                <w:p w14:paraId="019615D9" w14:textId="77777777" w:rsidR="00971953" w:rsidRPr="006362A9" w:rsidRDefault="00971953" w:rsidP="00055DB8">
                  <w:pPr>
                    <w:pStyle w:val="TableBodyText"/>
                    <w:ind w:right="28"/>
                    <w:jc w:val="center"/>
                    <w:rPr>
                      <w:szCs w:val="18"/>
                    </w:rPr>
                  </w:pPr>
                  <w:r w:rsidRPr="006362A9">
                    <w:rPr>
                      <w:rFonts w:cs="Arial"/>
                      <w:szCs w:val="18"/>
                    </w:rPr>
                    <w:t>..</w:t>
                  </w:r>
                </w:p>
              </w:tc>
            </w:tr>
            <w:tr w:rsidR="005760C1" w:rsidRPr="005760C1" w14:paraId="1017A2C7" w14:textId="77777777" w:rsidTr="00055DB8">
              <w:trPr>
                <w:gridAfter w:val="1"/>
                <w:wAfter w:w="6" w:type="dxa"/>
              </w:trPr>
              <w:tc>
                <w:tcPr>
                  <w:tcW w:w="0" w:type="auto"/>
                  <w:shd w:val="clear" w:color="auto" w:fill="auto"/>
                </w:tcPr>
                <w:p w14:paraId="6A32E617" w14:textId="77777777" w:rsidR="00971953" w:rsidRPr="005760C1" w:rsidRDefault="00971953" w:rsidP="00055DB8">
                  <w:pPr>
                    <w:pStyle w:val="TableBodyText"/>
                    <w:jc w:val="left"/>
                    <w:rPr>
                      <w:b/>
                    </w:rPr>
                  </w:pPr>
                  <w:r w:rsidRPr="005760C1">
                    <w:rPr>
                      <w:b/>
                    </w:rPr>
                    <w:t>Tenure</w:t>
                  </w:r>
                </w:p>
              </w:tc>
              <w:tc>
                <w:tcPr>
                  <w:tcW w:w="0" w:type="auto"/>
                  <w:gridSpan w:val="2"/>
                </w:tcPr>
                <w:p w14:paraId="3DB1FEC3" w14:textId="77777777" w:rsidR="00971953" w:rsidRPr="006362A9" w:rsidRDefault="00971953" w:rsidP="00055DB8">
                  <w:pPr>
                    <w:pStyle w:val="TableBodyText"/>
                    <w:ind w:right="28"/>
                    <w:jc w:val="center"/>
                  </w:pPr>
                </w:p>
              </w:tc>
              <w:tc>
                <w:tcPr>
                  <w:tcW w:w="8029" w:type="dxa"/>
                  <w:gridSpan w:val="4"/>
                </w:tcPr>
                <w:p w14:paraId="708742B9" w14:textId="77777777" w:rsidR="00971953" w:rsidRPr="006362A9" w:rsidRDefault="00971953" w:rsidP="00055DB8">
                  <w:pPr>
                    <w:pStyle w:val="TableBodyText"/>
                    <w:ind w:right="28"/>
                    <w:jc w:val="center"/>
                  </w:pPr>
                </w:p>
              </w:tc>
            </w:tr>
            <w:tr w:rsidR="005760C1" w:rsidRPr="005760C1" w14:paraId="653C173E" w14:textId="77777777" w:rsidTr="00055DB8">
              <w:trPr>
                <w:gridAfter w:val="1"/>
                <w:wAfter w:w="6" w:type="dxa"/>
              </w:trPr>
              <w:tc>
                <w:tcPr>
                  <w:tcW w:w="0" w:type="auto"/>
                  <w:shd w:val="clear" w:color="auto" w:fill="auto"/>
                </w:tcPr>
                <w:p w14:paraId="75CC7199" w14:textId="77777777" w:rsidR="00971953" w:rsidRPr="005760C1" w:rsidRDefault="00971953" w:rsidP="00055DB8">
                  <w:pPr>
                    <w:pStyle w:val="TableBodyText"/>
                    <w:jc w:val="left"/>
                  </w:pPr>
                  <w:r w:rsidRPr="005760C1">
                    <w:t>Probation period</w:t>
                  </w:r>
                </w:p>
              </w:tc>
              <w:tc>
                <w:tcPr>
                  <w:tcW w:w="0" w:type="auto"/>
                </w:tcPr>
                <w:p w14:paraId="3F2EFB76" w14:textId="77777777" w:rsidR="00971953" w:rsidRPr="006362A9" w:rsidRDefault="00971953" w:rsidP="00055DB8">
                  <w:pPr>
                    <w:pStyle w:val="TableBodyText"/>
                    <w:jc w:val="center"/>
                  </w:pPr>
                  <w:r w:rsidRPr="006362A9">
                    <w:t>12 months</w:t>
                  </w:r>
                </w:p>
              </w:tc>
              <w:tc>
                <w:tcPr>
                  <w:tcW w:w="0" w:type="auto"/>
                  <w:gridSpan w:val="2"/>
                  <w:shd w:val="clear" w:color="auto" w:fill="auto"/>
                </w:tcPr>
                <w:p w14:paraId="0871A188" w14:textId="77777777" w:rsidR="00971953" w:rsidRPr="006362A9" w:rsidRDefault="00971953" w:rsidP="00055DB8">
                  <w:pPr>
                    <w:pStyle w:val="TableBodyText"/>
                    <w:ind w:right="28"/>
                    <w:jc w:val="center"/>
                  </w:pPr>
                  <w:r w:rsidRPr="006362A9">
                    <w:t>None</w:t>
                  </w:r>
                </w:p>
              </w:tc>
              <w:tc>
                <w:tcPr>
                  <w:tcW w:w="0" w:type="auto"/>
                </w:tcPr>
                <w:p w14:paraId="0A4E92B6" w14:textId="77777777" w:rsidR="00971953" w:rsidRPr="006362A9" w:rsidRDefault="00971953" w:rsidP="00055DB8">
                  <w:pPr>
                    <w:pStyle w:val="TableBodyText"/>
                    <w:ind w:right="28"/>
                    <w:jc w:val="center"/>
                  </w:pPr>
                  <w:r w:rsidRPr="006362A9">
                    <w:t>12 months</w:t>
                  </w:r>
                </w:p>
              </w:tc>
              <w:tc>
                <w:tcPr>
                  <w:tcW w:w="0" w:type="auto"/>
                </w:tcPr>
                <w:p w14:paraId="035EFB5B" w14:textId="77777777" w:rsidR="00971953" w:rsidRPr="006362A9" w:rsidRDefault="00971953" w:rsidP="00055DB8">
                  <w:pPr>
                    <w:pStyle w:val="TableBodyText"/>
                    <w:ind w:right="28"/>
                    <w:jc w:val="center"/>
                  </w:pPr>
                  <w:r w:rsidRPr="006362A9">
                    <w:t>6 months</w:t>
                  </w:r>
                </w:p>
              </w:tc>
              <w:tc>
                <w:tcPr>
                  <w:tcW w:w="1648" w:type="dxa"/>
                </w:tcPr>
                <w:p w14:paraId="6DDD7E1D" w14:textId="77777777" w:rsidR="00971953" w:rsidRPr="006362A9" w:rsidRDefault="00971953" w:rsidP="00055DB8">
                  <w:pPr>
                    <w:pStyle w:val="TableBodyText"/>
                    <w:ind w:right="28"/>
                    <w:jc w:val="center"/>
                  </w:pPr>
                  <w:r w:rsidRPr="006362A9">
                    <w:t>6 months</w:t>
                  </w:r>
                </w:p>
              </w:tc>
            </w:tr>
            <w:tr w:rsidR="005760C1" w:rsidRPr="005760C1" w14:paraId="01D039C2" w14:textId="77777777" w:rsidTr="00055DB8">
              <w:trPr>
                <w:gridAfter w:val="1"/>
                <w:wAfter w:w="6" w:type="dxa"/>
              </w:trPr>
              <w:tc>
                <w:tcPr>
                  <w:tcW w:w="0" w:type="auto"/>
                  <w:shd w:val="clear" w:color="auto" w:fill="auto"/>
                </w:tcPr>
                <w:p w14:paraId="4D549757" w14:textId="77777777" w:rsidR="00971953" w:rsidRPr="005760C1" w:rsidRDefault="00971953" w:rsidP="00055DB8">
                  <w:pPr>
                    <w:pStyle w:val="TableBodyText"/>
                    <w:jc w:val="left"/>
                  </w:pPr>
                  <w:r w:rsidRPr="005760C1">
                    <w:t>Fixed term</w:t>
                  </w:r>
                </w:p>
              </w:tc>
              <w:tc>
                <w:tcPr>
                  <w:tcW w:w="0" w:type="auto"/>
                </w:tcPr>
                <w:p w14:paraId="413EBB13" w14:textId="77777777" w:rsidR="00971953" w:rsidRPr="006362A9" w:rsidRDefault="00971953" w:rsidP="00055DB8">
                  <w:pPr>
                    <w:pStyle w:val="TableBodyText"/>
                    <w:jc w:val="center"/>
                  </w:pPr>
                  <w:r w:rsidRPr="006362A9">
                    <w:t>2, 5 or 10 years</w:t>
                  </w:r>
                </w:p>
              </w:tc>
              <w:tc>
                <w:tcPr>
                  <w:tcW w:w="0" w:type="auto"/>
                  <w:gridSpan w:val="2"/>
                  <w:shd w:val="clear" w:color="auto" w:fill="auto"/>
                </w:tcPr>
                <w:p w14:paraId="1E9B92E8" w14:textId="77777777" w:rsidR="00971953" w:rsidRPr="006362A9" w:rsidRDefault="00971953" w:rsidP="00055DB8">
                  <w:pPr>
                    <w:pStyle w:val="TableBodyText"/>
                    <w:ind w:right="28"/>
                    <w:jc w:val="center"/>
                  </w:pPr>
                  <w:r w:rsidRPr="006362A9">
                    <w:t>3 years (new tenancies)</w:t>
                  </w:r>
                </w:p>
              </w:tc>
              <w:tc>
                <w:tcPr>
                  <w:tcW w:w="0" w:type="auto"/>
                </w:tcPr>
                <w:p w14:paraId="515FA14D" w14:textId="77777777" w:rsidR="00971953" w:rsidRPr="006362A9" w:rsidRDefault="00971953" w:rsidP="00055DB8">
                  <w:pPr>
                    <w:pStyle w:val="TableBodyText"/>
                    <w:ind w:right="28"/>
                    <w:jc w:val="center"/>
                  </w:pPr>
                  <w:r w:rsidRPr="006362A9">
                    <w:t>1, 2, 5 and 10 years</w:t>
                  </w:r>
                </w:p>
              </w:tc>
              <w:tc>
                <w:tcPr>
                  <w:tcW w:w="0" w:type="auto"/>
                </w:tcPr>
                <w:p w14:paraId="5CBBEAB3" w14:textId="74E8E7F8" w:rsidR="00971953" w:rsidRPr="006362A9" w:rsidRDefault="00D91389" w:rsidP="00055DB8">
                  <w:pPr>
                    <w:pStyle w:val="TableBodyText"/>
                    <w:ind w:right="28"/>
                    <w:jc w:val="center"/>
                  </w:pPr>
                  <w:r w:rsidRPr="006362A9">
                    <w:t xml:space="preserve">Variable length </w:t>
                  </w:r>
                  <w:r>
                    <w:br/>
                  </w:r>
                  <w:r w:rsidRPr="000D0CDB">
                    <w:t>(2–4 years)</w:t>
                  </w:r>
                </w:p>
              </w:tc>
              <w:tc>
                <w:tcPr>
                  <w:tcW w:w="1648" w:type="dxa"/>
                </w:tcPr>
                <w:p w14:paraId="3027CC2A" w14:textId="3EC586F5" w:rsidR="00971953" w:rsidRPr="006362A9" w:rsidRDefault="00971953" w:rsidP="00055DB8">
                  <w:pPr>
                    <w:pStyle w:val="TableBodyText"/>
                    <w:ind w:right="28"/>
                    <w:jc w:val="center"/>
                  </w:pPr>
                  <w:r w:rsidRPr="006362A9">
                    <w:t>Offered as a probationary agreement</w:t>
                  </w:r>
                  <w:r w:rsidR="005760C1" w:rsidRPr="006362A9">
                    <w:t xml:space="preserve"> only</w:t>
                  </w:r>
                </w:p>
              </w:tc>
            </w:tr>
            <w:tr w:rsidR="005760C1" w:rsidRPr="005760C1" w14:paraId="087E4F47" w14:textId="77777777" w:rsidTr="00055DB8">
              <w:trPr>
                <w:gridAfter w:val="1"/>
                <w:wAfter w:w="6" w:type="dxa"/>
              </w:trPr>
              <w:tc>
                <w:tcPr>
                  <w:tcW w:w="0" w:type="auto"/>
                  <w:shd w:val="clear" w:color="auto" w:fill="auto"/>
                </w:tcPr>
                <w:p w14:paraId="2C447A6E" w14:textId="77777777" w:rsidR="00971953" w:rsidRPr="005760C1" w:rsidRDefault="00971953" w:rsidP="00055DB8">
                  <w:pPr>
                    <w:pStyle w:val="TableBodyText"/>
                    <w:jc w:val="left"/>
                  </w:pPr>
                  <w:r w:rsidRPr="005760C1">
                    <w:t>Ongoing</w:t>
                  </w:r>
                </w:p>
              </w:tc>
              <w:tc>
                <w:tcPr>
                  <w:tcW w:w="0" w:type="auto"/>
                </w:tcPr>
                <w:p w14:paraId="5A199538" w14:textId="77777777" w:rsidR="00971953" w:rsidRPr="005760C1" w:rsidRDefault="00971953" w:rsidP="00055DB8">
                  <w:pPr>
                    <w:pStyle w:val="TableBodyText"/>
                    <w:jc w:val="center"/>
                  </w:pPr>
                  <w:r w:rsidRPr="005760C1">
                    <w:t>Yes</w:t>
                  </w:r>
                </w:p>
              </w:tc>
              <w:tc>
                <w:tcPr>
                  <w:tcW w:w="0" w:type="auto"/>
                  <w:gridSpan w:val="2"/>
                  <w:shd w:val="clear" w:color="auto" w:fill="auto"/>
                </w:tcPr>
                <w:p w14:paraId="227E6C39" w14:textId="77777777" w:rsidR="00971953" w:rsidRPr="005760C1" w:rsidRDefault="00971953" w:rsidP="00055DB8">
                  <w:pPr>
                    <w:pStyle w:val="TableBodyText"/>
                    <w:ind w:right="28"/>
                    <w:jc w:val="center"/>
                  </w:pPr>
                  <w:r w:rsidRPr="005760C1">
                    <w:t>Subject to review</w:t>
                  </w:r>
                </w:p>
              </w:tc>
              <w:tc>
                <w:tcPr>
                  <w:tcW w:w="0" w:type="auto"/>
                </w:tcPr>
                <w:p w14:paraId="670A893E" w14:textId="77777777" w:rsidR="00971953" w:rsidRPr="005760C1" w:rsidRDefault="00971953" w:rsidP="00055DB8">
                  <w:pPr>
                    <w:pStyle w:val="TableBodyText"/>
                    <w:ind w:right="28"/>
                    <w:jc w:val="center"/>
                  </w:pPr>
                  <w:r w:rsidRPr="005760C1">
                    <w:t>Tenants housed before 1 October 2010</w:t>
                  </w:r>
                </w:p>
              </w:tc>
              <w:tc>
                <w:tcPr>
                  <w:tcW w:w="0" w:type="auto"/>
                </w:tcPr>
                <w:p w14:paraId="1A3FF4C1" w14:textId="77777777" w:rsidR="00971953" w:rsidRPr="005760C1" w:rsidRDefault="00971953" w:rsidP="00055DB8">
                  <w:pPr>
                    <w:pStyle w:val="TableBodyText"/>
                    <w:ind w:right="28"/>
                    <w:jc w:val="center"/>
                  </w:pPr>
                  <w:r w:rsidRPr="005760C1">
                    <w:t>na</w:t>
                  </w:r>
                </w:p>
              </w:tc>
              <w:tc>
                <w:tcPr>
                  <w:tcW w:w="1648" w:type="dxa"/>
                </w:tcPr>
                <w:p w14:paraId="229D52CD" w14:textId="77777777" w:rsidR="00971953" w:rsidRPr="005760C1" w:rsidRDefault="00971953" w:rsidP="00055DB8">
                  <w:pPr>
                    <w:pStyle w:val="TableBodyText"/>
                    <w:ind w:right="28"/>
                    <w:jc w:val="center"/>
                  </w:pPr>
                  <w:r w:rsidRPr="005760C1">
                    <w:t>Yes</w:t>
                  </w:r>
                </w:p>
              </w:tc>
            </w:tr>
            <w:tr w:rsidR="005760C1" w:rsidRPr="005760C1" w14:paraId="04C3BEB9" w14:textId="77777777" w:rsidTr="00055DB8">
              <w:trPr>
                <w:gridAfter w:val="1"/>
                <w:wAfter w:w="6" w:type="dxa"/>
              </w:trPr>
              <w:tc>
                <w:tcPr>
                  <w:tcW w:w="0" w:type="auto"/>
                  <w:shd w:val="clear" w:color="auto" w:fill="auto"/>
                </w:tcPr>
                <w:p w14:paraId="70B4113C" w14:textId="77777777" w:rsidR="00971953" w:rsidRPr="005760C1" w:rsidRDefault="00971953" w:rsidP="00055DB8">
                  <w:pPr>
                    <w:pStyle w:val="TableBodyText"/>
                    <w:jc w:val="left"/>
                  </w:pPr>
                  <w:r w:rsidRPr="005760C1">
                    <w:t>Tenancy review</w:t>
                  </w:r>
                  <w:r w:rsidRPr="005760C1">
                    <w:tab/>
                  </w:r>
                  <w:r w:rsidRPr="005760C1">
                    <w:tab/>
                  </w:r>
                  <w:r w:rsidRPr="005760C1">
                    <w:tab/>
                  </w:r>
                </w:p>
              </w:tc>
              <w:tc>
                <w:tcPr>
                  <w:tcW w:w="0" w:type="auto"/>
                </w:tcPr>
                <w:p w14:paraId="47061EB6" w14:textId="77777777" w:rsidR="00971953" w:rsidRPr="005760C1" w:rsidRDefault="00971953" w:rsidP="00055DB8">
                  <w:pPr>
                    <w:pStyle w:val="TableBodyText"/>
                    <w:jc w:val="center"/>
                  </w:pPr>
                  <w:r w:rsidRPr="005760C1">
                    <w:t>Yes</w:t>
                  </w:r>
                </w:p>
              </w:tc>
              <w:tc>
                <w:tcPr>
                  <w:tcW w:w="0" w:type="auto"/>
                  <w:gridSpan w:val="2"/>
                  <w:shd w:val="clear" w:color="auto" w:fill="auto"/>
                </w:tcPr>
                <w:p w14:paraId="50D505F5" w14:textId="77777777" w:rsidR="00971953" w:rsidRPr="005760C1" w:rsidRDefault="00971953" w:rsidP="00055DB8">
                  <w:pPr>
                    <w:pStyle w:val="TableBodyText"/>
                    <w:ind w:right="28"/>
                    <w:jc w:val="center"/>
                  </w:pPr>
                  <w:r w:rsidRPr="005760C1">
                    <w:t>Yes (review of ongoing need and eligibility)</w:t>
                  </w:r>
                </w:p>
              </w:tc>
              <w:tc>
                <w:tcPr>
                  <w:tcW w:w="0" w:type="auto"/>
                </w:tcPr>
                <w:p w14:paraId="175259AE" w14:textId="77777777" w:rsidR="00971953" w:rsidRPr="005760C1" w:rsidRDefault="00971953" w:rsidP="00055DB8">
                  <w:pPr>
                    <w:pStyle w:val="TableBodyText"/>
                    <w:ind w:right="28"/>
                    <w:jc w:val="center"/>
                  </w:pPr>
                  <w:r w:rsidRPr="005760C1">
                    <w:t>Prior to end of lease for probationary / fixed term tenancies</w:t>
                  </w:r>
                </w:p>
              </w:tc>
              <w:tc>
                <w:tcPr>
                  <w:tcW w:w="0" w:type="auto"/>
                </w:tcPr>
                <w:p w14:paraId="4D471B3D" w14:textId="77777777" w:rsidR="00971953" w:rsidRPr="005760C1" w:rsidRDefault="00971953" w:rsidP="00055DB8">
                  <w:pPr>
                    <w:pStyle w:val="TableBodyText"/>
                    <w:ind w:right="28"/>
                    <w:jc w:val="center"/>
                  </w:pPr>
                  <w:r w:rsidRPr="005760C1">
                    <w:t>Annual</w:t>
                  </w:r>
                </w:p>
              </w:tc>
              <w:tc>
                <w:tcPr>
                  <w:tcW w:w="1648" w:type="dxa"/>
                </w:tcPr>
                <w:p w14:paraId="3BECC163" w14:textId="77777777" w:rsidR="00971953" w:rsidRPr="005760C1" w:rsidRDefault="00971953" w:rsidP="00055DB8">
                  <w:pPr>
                    <w:pStyle w:val="TableBodyText"/>
                    <w:ind w:right="28"/>
                    <w:jc w:val="center"/>
                  </w:pPr>
                  <w:r w:rsidRPr="005760C1">
                    <w:t>Scheduled rental rebate review based on income type(s)</w:t>
                  </w:r>
                </w:p>
              </w:tc>
            </w:tr>
            <w:tr w:rsidR="005760C1" w:rsidRPr="005760C1" w14:paraId="67F2B561" w14:textId="77777777" w:rsidTr="00055DB8">
              <w:tc>
                <w:tcPr>
                  <w:tcW w:w="0" w:type="auto"/>
                  <w:gridSpan w:val="5"/>
                  <w:shd w:val="clear" w:color="auto" w:fill="auto"/>
                </w:tcPr>
                <w:p w14:paraId="647864D2" w14:textId="21346CEC" w:rsidR="00971953" w:rsidRPr="005760C1" w:rsidRDefault="00971953" w:rsidP="00055DB8">
                  <w:pPr>
                    <w:pStyle w:val="TableBodyText"/>
                    <w:ind w:right="28"/>
                    <w:jc w:val="left"/>
                  </w:pPr>
                  <w:r w:rsidRPr="005760C1">
                    <w:rPr>
                      <w:b/>
                    </w:rPr>
                    <w:t>Rebated rent setting: r</w:t>
                  </w:r>
                  <w:r w:rsidRPr="005760C1">
                    <w:t>ent</w:t>
                  </w:r>
                  <w:r w:rsidR="0033402F">
                    <w:t>–</w:t>
                  </w:r>
                  <w:r w:rsidRPr="005760C1">
                    <w:t>to</w:t>
                  </w:r>
                  <w:r w:rsidR="0033402F">
                    <w:t>–</w:t>
                  </w:r>
                  <w:r w:rsidRPr="005760C1">
                    <w:t>income ratio (%)</w:t>
                  </w:r>
                </w:p>
              </w:tc>
              <w:tc>
                <w:tcPr>
                  <w:tcW w:w="0" w:type="auto"/>
                </w:tcPr>
                <w:p w14:paraId="79C0AD2B" w14:textId="77777777" w:rsidR="00971953" w:rsidRPr="005760C1" w:rsidRDefault="00971953" w:rsidP="00055DB8">
                  <w:pPr>
                    <w:pStyle w:val="TableBodyText"/>
                    <w:ind w:right="28"/>
                    <w:jc w:val="center"/>
                  </w:pPr>
                </w:p>
              </w:tc>
              <w:tc>
                <w:tcPr>
                  <w:tcW w:w="1648" w:type="dxa"/>
                </w:tcPr>
                <w:p w14:paraId="6FC04580" w14:textId="77777777" w:rsidR="00971953" w:rsidRPr="005760C1" w:rsidRDefault="00971953" w:rsidP="00055DB8">
                  <w:pPr>
                    <w:pStyle w:val="TableBodyText"/>
                    <w:ind w:right="28"/>
                    <w:jc w:val="center"/>
                  </w:pPr>
                </w:p>
              </w:tc>
              <w:tc>
                <w:tcPr>
                  <w:tcW w:w="0" w:type="auto"/>
                </w:tcPr>
                <w:p w14:paraId="3E373B82" w14:textId="77777777" w:rsidR="00971953" w:rsidRPr="005760C1" w:rsidRDefault="00971953" w:rsidP="00055DB8">
                  <w:pPr>
                    <w:pStyle w:val="TableBodyText"/>
                    <w:ind w:right="28"/>
                    <w:jc w:val="center"/>
                  </w:pPr>
                </w:p>
              </w:tc>
            </w:tr>
            <w:tr w:rsidR="005760C1" w:rsidRPr="005760C1" w14:paraId="14DB1CE0" w14:textId="77777777" w:rsidTr="0056652C">
              <w:trPr>
                <w:gridAfter w:val="1"/>
                <w:wAfter w:w="6" w:type="dxa"/>
              </w:trPr>
              <w:tc>
                <w:tcPr>
                  <w:tcW w:w="0" w:type="auto"/>
                  <w:shd w:val="clear" w:color="auto" w:fill="auto"/>
                </w:tcPr>
                <w:p w14:paraId="65252B32" w14:textId="77777777" w:rsidR="00971953" w:rsidRPr="005760C1" w:rsidRDefault="00971953" w:rsidP="00055DB8">
                  <w:pPr>
                    <w:pStyle w:val="TableBodyText"/>
                    <w:jc w:val="left"/>
                  </w:pPr>
                </w:p>
              </w:tc>
              <w:tc>
                <w:tcPr>
                  <w:tcW w:w="0" w:type="auto"/>
                </w:tcPr>
                <w:p w14:paraId="5DF6F8A6" w14:textId="77777777" w:rsidR="00971953" w:rsidRPr="005760C1" w:rsidRDefault="00971953" w:rsidP="00055DB8">
                  <w:pPr>
                    <w:pStyle w:val="TableBodyText"/>
                    <w:jc w:val="center"/>
                  </w:pPr>
                  <w:r w:rsidRPr="005760C1">
                    <w:t>25–30</w:t>
                  </w:r>
                </w:p>
              </w:tc>
              <w:tc>
                <w:tcPr>
                  <w:tcW w:w="0" w:type="auto"/>
                  <w:gridSpan w:val="2"/>
                  <w:shd w:val="clear" w:color="auto" w:fill="auto"/>
                </w:tcPr>
                <w:p w14:paraId="66ADF030" w14:textId="77777777" w:rsidR="00971953" w:rsidRPr="005760C1" w:rsidRDefault="00971953" w:rsidP="00055DB8">
                  <w:pPr>
                    <w:pStyle w:val="TableBodyText"/>
                    <w:ind w:right="28"/>
                    <w:jc w:val="center"/>
                  </w:pPr>
                  <w:r w:rsidRPr="005760C1">
                    <w:t>25</w:t>
                  </w:r>
                </w:p>
              </w:tc>
              <w:tc>
                <w:tcPr>
                  <w:tcW w:w="0" w:type="auto"/>
                </w:tcPr>
                <w:p w14:paraId="39E45341" w14:textId="77777777" w:rsidR="00971953" w:rsidRPr="005760C1" w:rsidRDefault="00971953" w:rsidP="00055DB8">
                  <w:pPr>
                    <w:pStyle w:val="TableBodyText"/>
                    <w:ind w:right="28"/>
                    <w:jc w:val="center"/>
                  </w:pPr>
                  <w:r w:rsidRPr="005760C1">
                    <w:t>na</w:t>
                  </w:r>
                </w:p>
              </w:tc>
              <w:tc>
                <w:tcPr>
                  <w:tcW w:w="0" w:type="auto"/>
                </w:tcPr>
                <w:p w14:paraId="075ABB16" w14:textId="77777777" w:rsidR="00971953" w:rsidRPr="005760C1" w:rsidRDefault="00971953" w:rsidP="00055DB8">
                  <w:pPr>
                    <w:pStyle w:val="TableBodyText"/>
                    <w:ind w:right="28"/>
                    <w:jc w:val="center"/>
                  </w:pPr>
                  <w:r w:rsidRPr="005760C1">
                    <w:t>25</w:t>
                  </w:r>
                </w:p>
              </w:tc>
              <w:tc>
                <w:tcPr>
                  <w:tcW w:w="1648" w:type="dxa"/>
                </w:tcPr>
                <w:p w14:paraId="3EC7DFA2" w14:textId="77777777" w:rsidR="00971953" w:rsidRPr="005760C1" w:rsidRDefault="00971953" w:rsidP="00055DB8">
                  <w:pPr>
                    <w:pStyle w:val="TableBodyText"/>
                    <w:ind w:right="28"/>
                    <w:jc w:val="center"/>
                  </w:pPr>
                  <w:r w:rsidRPr="005760C1">
                    <w:t>23 (maximum)</w:t>
                  </w:r>
                </w:p>
              </w:tc>
            </w:tr>
            <w:tr w:rsidR="005760C1" w:rsidRPr="005760C1" w14:paraId="18CE067A" w14:textId="77777777" w:rsidTr="0056652C">
              <w:trPr>
                <w:gridAfter w:val="1"/>
                <w:wAfter w:w="6" w:type="dxa"/>
                <w:trHeight w:val="284"/>
              </w:trPr>
              <w:tc>
                <w:tcPr>
                  <w:tcW w:w="0" w:type="auto"/>
                  <w:tcBorders>
                    <w:bottom w:val="single" w:sz="6" w:space="0" w:color="BFBFBF" w:themeColor="background1" w:themeShade="BF"/>
                  </w:tcBorders>
                  <w:shd w:val="clear" w:color="auto" w:fill="auto"/>
                </w:tcPr>
                <w:p w14:paraId="34EF7ABE" w14:textId="77777777" w:rsidR="00971953" w:rsidRPr="005760C1" w:rsidRDefault="00971953" w:rsidP="00055DB8">
                  <w:pPr>
                    <w:pStyle w:val="TableBodyText"/>
                    <w:jc w:val="left"/>
                  </w:pPr>
                </w:p>
              </w:tc>
              <w:tc>
                <w:tcPr>
                  <w:tcW w:w="0" w:type="auto"/>
                  <w:tcBorders>
                    <w:bottom w:val="single" w:sz="6" w:space="0" w:color="BFBFBF" w:themeColor="background1" w:themeShade="BF"/>
                  </w:tcBorders>
                </w:tcPr>
                <w:p w14:paraId="62449BCB" w14:textId="77777777" w:rsidR="00971953" w:rsidRPr="005760C1" w:rsidRDefault="00971953" w:rsidP="00055DB8">
                  <w:pPr>
                    <w:pStyle w:val="TableBodyText"/>
                    <w:jc w:val="center"/>
                  </w:pPr>
                </w:p>
              </w:tc>
              <w:tc>
                <w:tcPr>
                  <w:tcW w:w="0" w:type="auto"/>
                  <w:gridSpan w:val="2"/>
                  <w:tcBorders>
                    <w:bottom w:val="single" w:sz="6" w:space="0" w:color="BFBFBF" w:themeColor="background1" w:themeShade="BF"/>
                  </w:tcBorders>
                  <w:shd w:val="clear" w:color="auto" w:fill="auto"/>
                </w:tcPr>
                <w:p w14:paraId="7D19B39A" w14:textId="77777777" w:rsidR="00971953" w:rsidRPr="005760C1" w:rsidRDefault="00971953" w:rsidP="00055DB8">
                  <w:pPr>
                    <w:pStyle w:val="TableBodyText"/>
                    <w:ind w:right="28"/>
                    <w:jc w:val="center"/>
                  </w:pPr>
                </w:p>
              </w:tc>
              <w:tc>
                <w:tcPr>
                  <w:tcW w:w="0" w:type="auto"/>
                  <w:tcBorders>
                    <w:bottom w:val="single" w:sz="6" w:space="0" w:color="BFBFBF" w:themeColor="background1" w:themeShade="BF"/>
                  </w:tcBorders>
                </w:tcPr>
                <w:p w14:paraId="5E0C1A9F" w14:textId="77777777" w:rsidR="00971953" w:rsidRPr="005760C1" w:rsidRDefault="00971953" w:rsidP="00055DB8">
                  <w:pPr>
                    <w:pStyle w:val="TableBodyText"/>
                    <w:ind w:right="28"/>
                    <w:jc w:val="center"/>
                  </w:pPr>
                </w:p>
              </w:tc>
              <w:tc>
                <w:tcPr>
                  <w:tcW w:w="3495" w:type="dxa"/>
                  <w:gridSpan w:val="2"/>
                  <w:tcBorders>
                    <w:bottom w:val="single" w:sz="6" w:space="0" w:color="BFBFBF" w:themeColor="background1" w:themeShade="BF"/>
                  </w:tcBorders>
                </w:tcPr>
                <w:p w14:paraId="11663363" w14:textId="77777777" w:rsidR="00971953" w:rsidRPr="005760C1" w:rsidRDefault="00971953" w:rsidP="00055DB8">
                  <w:pPr>
                    <w:pStyle w:val="TableBodyText"/>
                    <w:spacing w:before="80"/>
                    <w:ind w:right="28"/>
                  </w:pPr>
                  <w:r w:rsidRPr="005760C1">
                    <w:rPr>
                      <w:szCs w:val="18"/>
                    </w:rPr>
                    <w:t>(continued next page)</w:t>
                  </w:r>
                </w:p>
              </w:tc>
            </w:tr>
          </w:tbl>
          <w:p w14:paraId="32DB41ED" w14:textId="77777777" w:rsidR="00971953" w:rsidRPr="005760C1" w:rsidRDefault="00971953" w:rsidP="00055DB8">
            <w:pPr>
              <w:pStyle w:val="Box"/>
              <w:jc w:val="right"/>
              <w:rPr>
                <w:sz w:val="18"/>
                <w:szCs w:val="18"/>
              </w:rPr>
            </w:pPr>
          </w:p>
        </w:tc>
      </w:tr>
      <w:tr w:rsidR="00971953" w14:paraId="363D4DE0" w14:textId="77777777" w:rsidTr="00055DB8">
        <w:tc>
          <w:tcPr>
            <w:tcW w:w="5000" w:type="pct"/>
            <w:tcBorders>
              <w:bottom w:val="single" w:sz="4" w:space="0" w:color="78A22F"/>
            </w:tcBorders>
            <w:shd w:val="clear" w:color="auto" w:fill="auto"/>
          </w:tcPr>
          <w:p w14:paraId="71892AD6" w14:textId="77777777" w:rsidR="00971953" w:rsidRDefault="00971953" w:rsidP="00055DB8">
            <w:pPr>
              <w:pStyle w:val="Box"/>
              <w:spacing w:before="0" w:line="120" w:lineRule="exact"/>
            </w:pPr>
          </w:p>
        </w:tc>
      </w:tr>
      <w:bookmarkEnd w:id="6"/>
    </w:tbl>
    <w:p w14:paraId="68E16735" w14:textId="77777777" w:rsidR="00971953" w:rsidRDefault="00971953" w:rsidP="00971953"/>
    <w:p w14:paraId="2A415E7B" w14:textId="77777777" w:rsidR="00971953" w:rsidRDefault="00971953" w:rsidP="00971953"/>
    <w:p w14:paraId="002C93C2" w14:textId="604794DD" w:rsidR="00EC681C" w:rsidRDefault="00EC681C" w:rsidP="00A83249">
      <w:pPr>
        <w:pStyle w:val="BodyText"/>
      </w:pPr>
    </w:p>
    <w:p w14:paraId="2BC0D5A4" w14:textId="77777777" w:rsidR="00FE15F3" w:rsidRDefault="00FE15F3" w:rsidP="00FE15F3">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FE15F3" w:rsidRPr="00F810D5" w14:paraId="2697870C" w14:textId="77777777" w:rsidTr="00E8672A">
        <w:tc>
          <w:tcPr>
            <w:tcW w:w="5000" w:type="pct"/>
            <w:tcBorders>
              <w:bottom w:val="nil"/>
            </w:tcBorders>
            <w:shd w:val="clear" w:color="auto" w:fill="auto"/>
          </w:tcPr>
          <w:p w14:paraId="1FD0C162" w14:textId="79C57859" w:rsidR="00FE15F3" w:rsidRPr="00F810D5" w:rsidRDefault="00FE15F3" w:rsidP="00055DB8">
            <w:pPr>
              <w:pStyle w:val="TableTitle"/>
              <w:rPr>
                <w:b w:val="0"/>
              </w:rPr>
            </w:pPr>
            <w:bookmarkStart w:id="7" w:name="_Hlk76728312"/>
            <w:r>
              <w:rPr>
                <w:b w:val="0"/>
              </w:rPr>
              <w:t>Table 18.2</w:t>
            </w:r>
            <w:r w:rsidRPr="00F810D5">
              <w:rPr>
                <w:b w:val="0"/>
              </w:rPr>
              <w:tab/>
            </w:r>
            <w:r w:rsidRPr="00F810D5">
              <w:rPr>
                <w:b w:val="0"/>
                <w:sz w:val="18"/>
                <w:szCs w:val="18"/>
              </w:rPr>
              <w:t>(</w:t>
            </w:r>
            <w:r>
              <w:rPr>
                <w:b w:val="0"/>
                <w:sz w:val="18"/>
                <w:szCs w:val="18"/>
              </w:rPr>
              <w:t xml:space="preserve">SOMIH </w:t>
            </w:r>
            <w:r w:rsidRPr="00CB1F56">
              <w:rPr>
                <w:b w:val="0"/>
                <w:sz w:val="18"/>
                <w:szCs w:val="18"/>
              </w:rPr>
              <w:t>policy context</w:t>
            </w:r>
            <w:r>
              <w:rPr>
                <w:b w:val="0"/>
                <w:sz w:val="18"/>
                <w:szCs w:val="18"/>
              </w:rPr>
              <w:t xml:space="preserve"> 202</w:t>
            </w:r>
            <w:r w:rsidR="00A87CCC">
              <w:rPr>
                <w:b w:val="0"/>
                <w:sz w:val="18"/>
                <w:szCs w:val="18"/>
              </w:rPr>
              <w:t>1</w:t>
            </w:r>
            <w:r w:rsidRPr="00CB1F56">
              <w:rPr>
                <w:b w:val="0"/>
                <w:sz w:val="18"/>
                <w:szCs w:val="18"/>
              </w:rPr>
              <w:t xml:space="preserve"> </w:t>
            </w:r>
            <w:r w:rsidRPr="001413EB">
              <w:rPr>
                <w:b w:val="0"/>
                <w:sz w:val="18"/>
                <w:szCs w:val="18"/>
              </w:rPr>
              <w:t>continued)</w:t>
            </w:r>
          </w:p>
        </w:tc>
      </w:tr>
      <w:tr w:rsidR="00FE15F3" w14:paraId="4D3F4990" w14:textId="77777777" w:rsidTr="00E8672A">
        <w:tc>
          <w:tcPr>
            <w:tcW w:w="5000" w:type="pct"/>
            <w:tcBorders>
              <w:top w:val="nil"/>
              <w:bottom w:val="nil"/>
            </w:tcBorders>
            <w:shd w:val="clear" w:color="auto" w:fill="auto"/>
          </w:tcPr>
          <w:tbl>
            <w:tblPr>
              <w:tblW w:w="13325" w:type="dxa"/>
              <w:tblBorders>
                <w:top w:val="single" w:sz="6" w:space="0" w:color="BFBFBF" w:themeColor="background1" w:themeShade="BF"/>
                <w:bottom w:val="single" w:sz="6" w:space="0" w:color="BFBFBF" w:themeColor="background1" w:themeShade="BF"/>
              </w:tblBorders>
              <w:tblCellMar>
                <w:top w:w="28" w:type="dxa"/>
                <w:left w:w="0" w:type="dxa"/>
                <w:right w:w="0" w:type="dxa"/>
              </w:tblCellMar>
              <w:tblLook w:val="0000" w:firstRow="0" w:lastRow="0" w:firstColumn="0" w:lastColumn="0" w:noHBand="0" w:noVBand="0"/>
            </w:tblPr>
            <w:tblGrid>
              <w:gridCol w:w="2043"/>
              <w:gridCol w:w="1862"/>
              <w:gridCol w:w="2475"/>
              <w:gridCol w:w="3292"/>
              <w:gridCol w:w="1861"/>
              <w:gridCol w:w="1792"/>
            </w:tblGrid>
            <w:tr w:rsidR="00EC218F" w:rsidRPr="005760C1" w14:paraId="36172510" w14:textId="77777777" w:rsidTr="0069418C">
              <w:trPr>
                <w:trHeight w:val="517"/>
              </w:trPr>
              <w:tc>
                <w:tcPr>
                  <w:tcW w:w="2043" w:type="dxa"/>
                </w:tcPr>
                <w:p w14:paraId="66132307" w14:textId="133061E3" w:rsidR="00EC218F" w:rsidRPr="005760C1" w:rsidRDefault="00EC218F" w:rsidP="00B24E69">
                  <w:pPr>
                    <w:pStyle w:val="TableBodyText"/>
                    <w:rPr>
                      <w:szCs w:val="18"/>
                    </w:rPr>
                  </w:pPr>
                </w:p>
              </w:tc>
              <w:tc>
                <w:tcPr>
                  <w:tcW w:w="1862" w:type="dxa"/>
                </w:tcPr>
                <w:p w14:paraId="0733B7D6" w14:textId="3CBC656F" w:rsidR="00EC218F" w:rsidRPr="00387847" w:rsidRDefault="00EC218F" w:rsidP="0030079A">
                  <w:pPr>
                    <w:pStyle w:val="TableBodyText"/>
                    <w:spacing w:before="80" w:after="80"/>
                    <w:jc w:val="center"/>
                    <w:rPr>
                      <w:i/>
                      <w:iCs/>
                      <w:szCs w:val="18"/>
                    </w:rPr>
                  </w:pPr>
                  <w:r w:rsidRPr="00387847">
                    <w:rPr>
                      <w:i/>
                      <w:iCs/>
                    </w:rPr>
                    <w:t>NSW</w:t>
                  </w:r>
                  <w:r w:rsidRPr="00387847">
                    <w:rPr>
                      <w:rStyle w:val="NoteLabel"/>
                      <w:i/>
                      <w:iCs/>
                    </w:rPr>
                    <w:t>d</w:t>
                  </w:r>
                </w:p>
              </w:tc>
              <w:tc>
                <w:tcPr>
                  <w:tcW w:w="2475" w:type="dxa"/>
                </w:tcPr>
                <w:p w14:paraId="7DC27C38" w14:textId="228C24B3" w:rsidR="00EC218F" w:rsidRPr="006362A9" w:rsidRDefault="00EC218F" w:rsidP="0030079A">
                  <w:pPr>
                    <w:pStyle w:val="TableBodyText"/>
                    <w:spacing w:before="80" w:after="80"/>
                    <w:jc w:val="center"/>
                    <w:rPr>
                      <w:szCs w:val="18"/>
                    </w:rPr>
                  </w:pPr>
                  <w:r w:rsidRPr="00387847">
                    <w:rPr>
                      <w:i/>
                      <w:iCs/>
                    </w:rPr>
                    <w:t>Qld</w:t>
                  </w:r>
                  <w:r w:rsidRPr="00EC218F">
                    <w:rPr>
                      <w:rStyle w:val="NoteLabel"/>
                      <w:bCs/>
                      <w:i/>
                      <w:iCs/>
                    </w:rPr>
                    <w:t>e</w:t>
                  </w:r>
                </w:p>
              </w:tc>
              <w:tc>
                <w:tcPr>
                  <w:tcW w:w="3292" w:type="dxa"/>
                  <w:shd w:val="clear" w:color="auto" w:fill="auto"/>
                </w:tcPr>
                <w:p w14:paraId="1F59C294" w14:textId="7568A48A" w:rsidR="00EC218F" w:rsidRPr="006362A9" w:rsidRDefault="00EC218F" w:rsidP="0030079A">
                  <w:pPr>
                    <w:pStyle w:val="TableBodyText"/>
                    <w:spacing w:before="80" w:after="80"/>
                    <w:jc w:val="center"/>
                    <w:rPr>
                      <w:szCs w:val="18"/>
                    </w:rPr>
                  </w:pPr>
                  <w:r w:rsidRPr="00387847">
                    <w:rPr>
                      <w:i/>
                      <w:iCs/>
                    </w:rPr>
                    <w:t>SA</w:t>
                  </w:r>
                  <w:r w:rsidRPr="00EC218F">
                    <w:rPr>
                      <w:rStyle w:val="NoteLabel"/>
                      <w:i/>
                      <w:iCs/>
                    </w:rPr>
                    <w:t>f</w:t>
                  </w:r>
                </w:p>
              </w:tc>
              <w:tc>
                <w:tcPr>
                  <w:tcW w:w="1861" w:type="dxa"/>
                </w:tcPr>
                <w:p w14:paraId="518A673B" w14:textId="4A7D4735" w:rsidR="00EC218F" w:rsidRPr="006362A9" w:rsidRDefault="00EC218F" w:rsidP="0030079A">
                  <w:pPr>
                    <w:pStyle w:val="TableBodyText"/>
                    <w:spacing w:before="80" w:after="80"/>
                    <w:jc w:val="center"/>
                    <w:rPr>
                      <w:szCs w:val="18"/>
                    </w:rPr>
                  </w:pPr>
                  <w:r w:rsidRPr="00387847">
                    <w:rPr>
                      <w:i/>
                      <w:iCs/>
                    </w:rPr>
                    <w:t>Tas</w:t>
                  </w:r>
                  <w:r w:rsidRPr="00EC218F">
                    <w:rPr>
                      <w:rStyle w:val="NoteLabel"/>
                      <w:bCs/>
                      <w:i/>
                      <w:iCs/>
                    </w:rPr>
                    <w:t>g</w:t>
                  </w:r>
                </w:p>
              </w:tc>
              <w:tc>
                <w:tcPr>
                  <w:tcW w:w="1792" w:type="dxa"/>
                </w:tcPr>
                <w:p w14:paraId="45A71681" w14:textId="43218682" w:rsidR="00EC218F" w:rsidRPr="006362A9" w:rsidRDefault="00EC218F" w:rsidP="0030079A">
                  <w:pPr>
                    <w:pStyle w:val="TableBodyText"/>
                    <w:spacing w:before="80" w:after="80"/>
                    <w:ind w:right="28"/>
                    <w:jc w:val="center"/>
                    <w:rPr>
                      <w:szCs w:val="18"/>
                    </w:rPr>
                  </w:pPr>
                  <w:r w:rsidRPr="00387847">
                    <w:rPr>
                      <w:i/>
                      <w:iCs/>
                    </w:rPr>
                    <w:t>NT</w:t>
                  </w:r>
                  <w:r w:rsidRPr="00EC218F">
                    <w:rPr>
                      <w:rStyle w:val="NoteLabel"/>
                      <w:bCs/>
                      <w:i/>
                      <w:iCs/>
                    </w:rPr>
                    <w:t>h</w:t>
                  </w:r>
                </w:p>
              </w:tc>
            </w:tr>
          </w:tbl>
          <w:p w14:paraId="5AB78391" w14:textId="77777777" w:rsidR="00FE15F3" w:rsidRDefault="00FE15F3" w:rsidP="00055DB8">
            <w:pPr>
              <w:pStyle w:val="Box"/>
              <w:spacing w:before="0" w:line="120" w:lineRule="exact"/>
            </w:pPr>
          </w:p>
        </w:tc>
      </w:tr>
      <w:tr w:rsidR="00FE15F3" w14:paraId="216E8613" w14:textId="77777777" w:rsidTr="00E8672A">
        <w:tc>
          <w:tcPr>
            <w:tcW w:w="5000" w:type="pct"/>
            <w:tcBorders>
              <w:top w:val="nil"/>
              <w:bottom w:val="nil"/>
            </w:tcBorders>
            <w:shd w:val="clear" w:color="auto" w:fill="auto"/>
          </w:tcPr>
          <w:p w14:paraId="675609AB" w14:textId="0D16BF5F" w:rsidR="00FE15F3" w:rsidRPr="004B3ADE" w:rsidRDefault="00FE15F3" w:rsidP="00055DB8">
            <w:pPr>
              <w:pStyle w:val="Note"/>
              <w:jc w:val="left"/>
              <w:rPr>
                <w:color w:val="C00000"/>
              </w:rPr>
            </w:pPr>
            <w:r w:rsidRPr="00FB20F1">
              <w:rPr>
                <w:rStyle w:val="NoteLabel"/>
              </w:rPr>
              <w:t xml:space="preserve">a </w:t>
            </w:r>
            <w:r>
              <w:t xml:space="preserve">At 30 June. </w:t>
            </w:r>
            <w:r w:rsidRPr="00FB20F1">
              <w:rPr>
                <w:rStyle w:val="NoteLabel"/>
              </w:rPr>
              <w:t>b</w:t>
            </w:r>
            <w:r>
              <w:t xml:space="preserve"> .. Not applicable</w:t>
            </w:r>
            <w:r w:rsidRPr="00350F3A">
              <w:t xml:space="preserve">. </w:t>
            </w:r>
            <w:r w:rsidRPr="00350F3A">
              <w:rPr>
                <w:rStyle w:val="NoteLabel"/>
              </w:rPr>
              <w:t>c</w:t>
            </w:r>
            <w:r w:rsidRPr="00350F3A">
              <w:t xml:space="preserve"> For further information, see State and Territory government websites. </w:t>
            </w:r>
            <w:r>
              <w:rPr>
                <w:color w:val="C00000"/>
              </w:rPr>
              <w:br/>
            </w:r>
            <w:r>
              <w:rPr>
                <w:rStyle w:val="NoteLabel"/>
              </w:rPr>
              <w:t>d</w:t>
            </w:r>
            <w:r>
              <w:t xml:space="preserve"> </w:t>
            </w:r>
            <w:r w:rsidRPr="00350F3A">
              <w:rPr>
                <w:b/>
              </w:rPr>
              <w:t>NSW:</w:t>
            </w:r>
            <w:r w:rsidRPr="00931676">
              <w:rPr>
                <w:b/>
              </w:rPr>
              <w:t xml:space="preserve"> </w:t>
            </w:r>
            <w:r>
              <w:t>The first $5</w:t>
            </w:r>
            <w:r w:rsidRPr="00D726B6">
              <w:t xml:space="preserve">000 of financial assets </w:t>
            </w:r>
            <w:r>
              <w:t xml:space="preserve">is </w:t>
            </w:r>
            <w:r w:rsidRPr="00D726B6">
              <w:t>exempt from assessmen</w:t>
            </w:r>
            <w:r>
              <w:t xml:space="preserve">t. </w:t>
            </w:r>
            <w:r w:rsidRPr="00D726B6">
              <w:t>Applicants under 18</w:t>
            </w:r>
            <w:r>
              <w:t> </w:t>
            </w:r>
            <w:r w:rsidRPr="00D726B6">
              <w:t xml:space="preserve">years may be </w:t>
            </w:r>
            <w:r w:rsidRPr="007E39BD">
              <w:t>considered in certain circumstances</w:t>
            </w:r>
            <w:r w:rsidRPr="00D726B6">
              <w:t>.</w:t>
            </w:r>
            <w:r>
              <w:t xml:space="preserve"> Shorter</w:t>
            </w:r>
            <w:r w:rsidRPr="00D726B6">
              <w:t xml:space="preserve"> leases </w:t>
            </w:r>
            <w:r>
              <w:t>apply in particular circumstances</w:t>
            </w:r>
            <w:r w:rsidRPr="00D726B6">
              <w:t>.</w:t>
            </w:r>
            <w:r>
              <w:t xml:space="preserve"> </w:t>
            </w:r>
            <w:r w:rsidRPr="00D726B6">
              <w:t xml:space="preserve">Tenancy review criteria: </w:t>
            </w:r>
            <w:r>
              <w:t>ongoing eligibility; d</w:t>
            </w:r>
            <w:r w:rsidRPr="00D726B6">
              <w:t xml:space="preserve">isability, medical condition or </w:t>
            </w:r>
            <w:r w:rsidRPr="00F53AA6">
              <w:t>permanent injury. Rent to income ratio is based on household size, type and gross assessable income.</w:t>
            </w:r>
            <w:r>
              <w:br/>
            </w:r>
            <w:r w:rsidRPr="00B63D3C">
              <w:rPr>
                <w:rStyle w:val="NoteLabel"/>
                <w:bCs/>
              </w:rPr>
              <w:t>e</w:t>
            </w:r>
            <w:r w:rsidRPr="006362A9">
              <w:t xml:space="preserve"> </w:t>
            </w:r>
            <w:r w:rsidRPr="006362A9">
              <w:rPr>
                <w:b/>
              </w:rPr>
              <w:t>Qld:</w:t>
            </w:r>
            <w:r w:rsidRPr="006362A9">
              <w:t xml:space="preserve"> Six month periodic tenancies apply in certain circumstances. Tenancy review policies include ongoing eligibility and </w:t>
            </w:r>
            <w:r w:rsidR="00E87C1D" w:rsidRPr="006362A9">
              <w:t>a continuing</w:t>
            </w:r>
            <w:r w:rsidR="00613D19" w:rsidRPr="006362A9">
              <w:t xml:space="preserve"> </w:t>
            </w:r>
            <w:r w:rsidRPr="006362A9">
              <w:t>need</w:t>
            </w:r>
            <w:r w:rsidRPr="00F53AA6">
              <w:t xml:space="preserve"> for the reviewable property.</w:t>
            </w:r>
          </w:p>
          <w:p w14:paraId="6ABDD67C" w14:textId="77777777" w:rsidR="00FE15F3" w:rsidRDefault="00FE15F3" w:rsidP="00055DB8">
            <w:pPr>
              <w:pStyle w:val="Note"/>
              <w:jc w:val="left"/>
            </w:pPr>
            <w:r>
              <w:rPr>
                <w:rStyle w:val="NoteLabel"/>
              </w:rPr>
              <w:t>f</w:t>
            </w:r>
            <w:r>
              <w:t xml:space="preserve"> </w:t>
            </w:r>
            <w:r w:rsidRPr="00037906">
              <w:rPr>
                <w:b/>
                <w:bCs/>
              </w:rPr>
              <w:t>SA:</w:t>
            </w:r>
            <w:r w:rsidRPr="00BB797F">
              <w:rPr>
                <w:b/>
                <w:bCs/>
              </w:rPr>
              <w:t xml:space="preserve"> </w:t>
            </w:r>
            <w:r>
              <w:t xml:space="preserve">Income limits regularly updated based on SA Average Weekly Earnings (ABS data). Asset limits regularly updated based on Centrelink asset limits. Lease length based on compliance with conditions of tenancy and household circumstances. </w:t>
            </w:r>
          </w:p>
          <w:p w14:paraId="0FDA4C6F" w14:textId="77777777" w:rsidR="00FE15F3" w:rsidRDefault="00FE15F3" w:rsidP="00055DB8">
            <w:pPr>
              <w:pStyle w:val="Note"/>
              <w:jc w:val="left"/>
            </w:pPr>
            <w:r>
              <w:rPr>
                <w:rStyle w:val="NoteLabel"/>
              </w:rPr>
              <w:t>g</w:t>
            </w:r>
            <w:r>
              <w:t xml:space="preserve"> </w:t>
            </w:r>
            <w:r w:rsidRPr="00183A97">
              <w:rPr>
                <w:b/>
                <w:bCs/>
              </w:rPr>
              <w:t>Tas</w:t>
            </w:r>
            <w:r>
              <w:t xml:space="preserve">: </w:t>
            </w:r>
            <w:r w:rsidRPr="00D726B6">
              <w:t xml:space="preserve">Income limits updated regularly </w:t>
            </w:r>
            <w:r>
              <w:t>based on Low</w:t>
            </w:r>
            <w:r w:rsidRPr="00D726B6">
              <w:t xml:space="preserve"> Income Health Care Card eligibility.</w:t>
            </w:r>
            <w:r>
              <w:t xml:space="preserve"> </w:t>
            </w:r>
          </w:p>
          <w:p w14:paraId="44B2FBB1" w14:textId="58FB810B" w:rsidR="00FE15F3" w:rsidRPr="00687752" w:rsidRDefault="00FE15F3" w:rsidP="00055DB8">
            <w:pPr>
              <w:pStyle w:val="Note"/>
              <w:rPr>
                <w:bCs/>
                <w:color w:val="C00000"/>
              </w:rPr>
            </w:pPr>
            <w:r w:rsidRPr="006C318E">
              <w:rPr>
                <w:rStyle w:val="NoteLabel"/>
              </w:rPr>
              <w:t>h</w:t>
            </w:r>
            <w:r w:rsidRPr="0001138F">
              <w:rPr>
                <w:rStyle w:val="NoteLabel"/>
                <w:bCs/>
                <w:position w:val="0"/>
              </w:rPr>
              <w:t xml:space="preserve"> NT:</w:t>
            </w:r>
            <w:r w:rsidRPr="008A4BC4">
              <w:rPr>
                <w:rStyle w:val="NoteLabel"/>
                <w:b w:val="0"/>
                <w:position w:val="0"/>
              </w:rPr>
              <w:t xml:space="preserve"> </w:t>
            </w:r>
            <w:r>
              <w:rPr>
                <w:rStyle w:val="NoteLabel"/>
                <w:b w:val="0"/>
                <w:position w:val="0"/>
              </w:rPr>
              <w:t>SOMIH dwellings are i</w:t>
            </w:r>
            <w:r w:rsidRPr="008A4BC4">
              <w:rPr>
                <w:rStyle w:val="NoteLabel"/>
                <w:b w:val="0"/>
                <w:position w:val="0"/>
              </w:rPr>
              <w:t>n Remote Communities, Town Camps and community living areas</w:t>
            </w:r>
            <w:r>
              <w:rPr>
                <w:rStyle w:val="NoteLabel"/>
                <w:b w:val="0"/>
                <w:position w:val="0"/>
              </w:rPr>
              <w:t>. Dwelling allocation is according to recommendations by l</w:t>
            </w:r>
            <w:r w:rsidRPr="008A4BC4">
              <w:rPr>
                <w:rStyle w:val="NoteLabel"/>
                <w:b w:val="0"/>
                <w:position w:val="0"/>
              </w:rPr>
              <w:t>ocal community Housing Reference Group</w:t>
            </w:r>
            <w:r>
              <w:rPr>
                <w:rStyle w:val="NoteLabel"/>
                <w:b w:val="0"/>
                <w:position w:val="0"/>
              </w:rPr>
              <w:t>s, which prioritise applicants according to need.</w:t>
            </w:r>
            <w:r w:rsidRPr="008A4BC4">
              <w:rPr>
                <w:rStyle w:val="NoteLabel"/>
                <w:b w:val="0"/>
                <w:position w:val="0"/>
              </w:rPr>
              <w:t xml:space="preserve"> </w:t>
            </w:r>
            <w:r>
              <w:rPr>
                <w:rStyle w:val="NoteLabel"/>
                <w:b w:val="0"/>
                <w:position w:val="0"/>
              </w:rPr>
              <w:t>E</w:t>
            </w:r>
            <w:r w:rsidRPr="008A4BC4">
              <w:rPr>
                <w:rStyle w:val="NoteLabel"/>
                <w:b w:val="0"/>
                <w:position w:val="0"/>
              </w:rPr>
              <w:t xml:space="preserve">ligibility </w:t>
            </w:r>
            <w:r>
              <w:rPr>
                <w:rStyle w:val="NoteLabel"/>
                <w:b w:val="0"/>
                <w:position w:val="0"/>
              </w:rPr>
              <w:t>criter</w:t>
            </w:r>
            <w:r w:rsidR="00CF17BD">
              <w:rPr>
                <w:rStyle w:val="NoteLabel"/>
                <w:b w:val="0"/>
                <w:position w:val="0"/>
              </w:rPr>
              <w:t>i</w:t>
            </w:r>
            <w:r>
              <w:rPr>
                <w:rStyle w:val="NoteLabel"/>
                <w:b w:val="0"/>
                <w:position w:val="0"/>
              </w:rPr>
              <w:t xml:space="preserve">a include acceptance of the applicant </w:t>
            </w:r>
            <w:r w:rsidRPr="008A4BC4">
              <w:rPr>
                <w:rStyle w:val="NoteLabel"/>
                <w:b w:val="0"/>
                <w:position w:val="0"/>
              </w:rPr>
              <w:t>as a permanent community resident.</w:t>
            </w:r>
          </w:p>
        </w:tc>
      </w:tr>
      <w:tr w:rsidR="00FE15F3" w14:paraId="15E4775F" w14:textId="77777777" w:rsidTr="00055DB8">
        <w:tc>
          <w:tcPr>
            <w:tcW w:w="5000" w:type="pct"/>
            <w:tcBorders>
              <w:top w:val="nil"/>
              <w:bottom w:val="nil"/>
            </w:tcBorders>
            <w:shd w:val="clear" w:color="auto" w:fill="auto"/>
          </w:tcPr>
          <w:p w14:paraId="281A5966" w14:textId="77777777" w:rsidR="00FE15F3" w:rsidRDefault="00FE15F3" w:rsidP="00055DB8">
            <w:pPr>
              <w:pStyle w:val="Source"/>
            </w:pPr>
            <w:r w:rsidRPr="00FB20F1">
              <w:t>Source</w:t>
            </w:r>
            <w:r w:rsidRPr="00167F06">
              <w:t xml:space="preserve">: </w:t>
            </w:r>
            <w:r w:rsidRPr="00F84C92">
              <w:t>State and Terri</w:t>
            </w:r>
            <w:r>
              <w:t>tory governments (unpublished).</w:t>
            </w:r>
          </w:p>
        </w:tc>
      </w:tr>
      <w:tr w:rsidR="00FE15F3" w14:paraId="1BA8DB71" w14:textId="77777777" w:rsidTr="00055DB8">
        <w:tc>
          <w:tcPr>
            <w:tcW w:w="5000" w:type="pct"/>
            <w:tcBorders>
              <w:top w:val="nil"/>
              <w:bottom w:val="single" w:sz="4" w:space="0" w:color="78A22F"/>
            </w:tcBorders>
            <w:shd w:val="clear" w:color="auto" w:fill="auto"/>
          </w:tcPr>
          <w:p w14:paraId="78C43EC4" w14:textId="77777777" w:rsidR="00FE15F3" w:rsidRDefault="00FE15F3" w:rsidP="00055DB8">
            <w:pPr>
              <w:pStyle w:val="Box"/>
              <w:spacing w:before="0" w:line="120" w:lineRule="exact"/>
            </w:pPr>
          </w:p>
        </w:tc>
      </w:tr>
      <w:tr w:rsidR="00FE15F3" w:rsidRPr="00FB20F1" w14:paraId="24D72FD1" w14:textId="77777777" w:rsidTr="00055DB8">
        <w:tc>
          <w:tcPr>
            <w:tcW w:w="5000" w:type="pct"/>
            <w:tcBorders>
              <w:top w:val="single" w:sz="4" w:space="0" w:color="78A22F"/>
              <w:bottom w:val="nil"/>
            </w:tcBorders>
            <w:shd w:val="clear" w:color="auto" w:fill="auto"/>
          </w:tcPr>
          <w:p w14:paraId="37F749CE" w14:textId="77777777" w:rsidR="00FE15F3" w:rsidRPr="00626D32" w:rsidRDefault="00FE15F3" w:rsidP="00055DB8">
            <w:pPr>
              <w:pStyle w:val="BoxSpaceBelow"/>
            </w:pPr>
          </w:p>
        </w:tc>
      </w:tr>
      <w:bookmarkEnd w:id="7"/>
    </w:tbl>
    <w:p w14:paraId="6E521F71" w14:textId="77777777" w:rsidR="00FE15F3" w:rsidRDefault="00FE15F3" w:rsidP="00FE15F3">
      <w:pPr>
        <w:pStyle w:val="BoxSpaceBelow"/>
      </w:pPr>
    </w:p>
    <w:p w14:paraId="5F8D2CEE" w14:textId="77777777" w:rsidR="00FE15F3" w:rsidRDefault="00FE15F3" w:rsidP="00FE15F3">
      <w:pPr>
        <w:pStyle w:val="BodyText"/>
      </w:pPr>
    </w:p>
    <w:p w14:paraId="4601A278" w14:textId="77777777" w:rsidR="00FE15F3" w:rsidRDefault="00FE15F3" w:rsidP="00FE15F3">
      <w:pPr>
        <w:rPr>
          <w:szCs w:val="20"/>
        </w:rPr>
      </w:pPr>
    </w:p>
    <w:p w14:paraId="47C2A0AC" w14:textId="77777777" w:rsidR="00FE15F3" w:rsidRDefault="00FE15F3" w:rsidP="00FE15F3">
      <w:pPr>
        <w:rPr>
          <w:szCs w:val="20"/>
        </w:rPr>
      </w:pPr>
    </w:p>
    <w:p w14:paraId="3526C784" w14:textId="77777777" w:rsidR="00FE15F3" w:rsidRDefault="00FE15F3" w:rsidP="00A83249">
      <w:pPr>
        <w:pStyle w:val="BodyText"/>
      </w:pPr>
    </w:p>
    <w:p w14:paraId="6601244A" w14:textId="54DA1953" w:rsidR="00EC681C" w:rsidRDefault="00EC681C" w:rsidP="00A83249">
      <w:pPr>
        <w:pStyle w:val="BodyText"/>
      </w:pPr>
    </w:p>
    <w:p w14:paraId="4E0A7B50" w14:textId="03299710" w:rsidR="00EC681C" w:rsidRDefault="00EC681C" w:rsidP="00A83249">
      <w:pPr>
        <w:pStyle w:val="BodyText"/>
      </w:pPr>
    </w:p>
    <w:p w14:paraId="6D9502F9" w14:textId="628C7D2F" w:rsidR="00EC681C" w:rsidRDefault="00EC681C" w:rsidP="00A83249">
      <w:pPr>
        <w:pStyle w:val="BodyText"/>
      </w:pPr>
    </w:p>
    <w:p w14:paraId="4384FCE6" w14:textId="77777777" w:rsidR="00DD3F5D" w:rsidRDefault="00DD3F5D" w:rsidP="00DD3F5D">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DD3F5D" w14:paraId="3935216E" w14:textId="77777777" w:rsidTr="4E7DCBFD">
        <w:tc>
          <w:tcPr>
            <w:tcW w:w="5000" w:type="pct"/>
            <w:shd w:val="clear" w:color="auto" w:fill="auto"/>
          </w:tcPr>
          <w:p w14:paraId="5FE6ED94" w14:textId="09A2E99C" w:rsidR="00DD3F5D" w:rsidRPr="00784A05" w:rsidRDefault="00DD3F5D" w:rsidP="00055DB8">
            <w:pPr>
              <w:pStyle w:val="TableTitle"/>
            </w:pPr>
            <w:r>
              <w:rPr>
                <w:b w:val="0"/>
              </w:rPr>
              <w:t xml:space="preserve">Table </w:t>
            </w:r>
            <w:r w:rsidR="00E652CB" w:rsidRPr="0053407F">
              <w:rPr>
                <w:b w:val="0"/>
              </w:rPr>
              <w:t>18.</w:t>
            </w:r>
            <w:r w:rsidRPr="0053407F">
              <w:rPr>
                <w:b w:val="0"/>
              </w:rPr>
              <w:t>3</w:t>
            </w:r>
            <w:r>
              <w:tab/>
              <w:t>Community</w:t>
            </w:r>
            <w:r w:rsidRPr="00EB1216">
              <w:t xml:space="preserve"> h</w:t>
            </w:r>
            <w:r>
              <w:t>ousing policy context, 202</w:t>
            </w:r>
            <w:r w:rsidR="00175FA9">
              <w:t>1</w:t>
            </w:r>
            <w:r w:rsidR="00AF44DC" w:rsidRPr="006C318E">
              <w:rPr>
                <w:rStyle w:val="NoteLabel"/>
                <w:b/>
                <w:bCs/>
              </w:rPr>
              <w:t>a, b, c, d</w:t>
            </w:r>
          </w:p>
        </w:tc>
      </w:tr>
      <w:tr w:rsidR="00DC0DFC" w:rsidRPr="00DC0DFC" w14:paraId="14E08C0E" w14:textId="77777777" w:rsidTr="4E7DCBFD">
        <w:tc>
          <w:tcPr>
            <w:tcW w:w="5000" w:type="pct"/>
            <w:shd w:val="clear" w:color="auto" w:fill="auto"/>
          </w:tcPr>
          <w:tbl>
            <w:tblPr>
              <w:tblW w:w="13324" w:type="dxa"/>
              <w:tblCellMar>
                <w:top w:w="28" w:type="dxa"/>
                <w:left w:w="0" w:type="dxa"/>
                <w:right w:w="0" w:type="dxa"/>
              </w:tblCellMar>
              <w:tblLook w:val="0000" w:firstRow="0" w:lastRow="0" w:firstColumn="0" w:lastColumn="0" w:noHBand="0" w:noVBand="0"/>
            </w:tblPr>
            <w:tblGrid>
              <w:gridCol w:w="1289"/>
              <w:gridCol w:w="178"/>
              <w:gridCol w:w="908"/>
              <w:gridCol w:w="532"/>
              <w:gridCol w:w="154"/>
              <w:gridCol w:w="876"/>
              <w:gridCol w:w="591"/>
              <w:gridCol w:w="127"/>
              <w:gridCol w:w="846"/>
              <w:gridCol w:w="644"/>
              <w:gridCol w:w="8"/>
              <w:gridCol w:w="100"/>
              <w:gridCol w:w="814"/>
              <w:gridCol w:w="701"/>
              <w:gridCol w:w="10"/>
              <w:gridCol w:w="75"/>
              <w:gridCol w:w="786"/>
              <w:gridCol w:w="754"/>
              <w:gridCol w:w="8"/>
              <w:gridCol w:w="48"/>
              <w:gridCol w:w="757"/>
              <w:gridCol w:w="810"/>
              <w:gridCol w:w="8"/>
              <w:gridCol w:w="24"/>
              <w:gridCol w:w="1602"/>
              <w:gridCol w:w="674"/>
            </w:tblGrid>
            <w:tr w:rsidR="00DC0DFC" w:rsidRPr="00DC0DFC" w14:paraId="199D9E7B" w14:textId="77777777" w:rsidTr="4E7DCBFD">
              <w:trPr>
                <w:trHeight w:val="276"/>
                <w:tblHeader/>
              </w:trPr>
              <w:tc>
                <w:tcPr>
                  <w:tcW w:w="484"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46504A8F" w14:textId="77777777" w:rsidR="00DD3F5D" w:rsidRPr="00DC0DFC" w:rsidRDefault="00DD3F5D" w:rsidP="00055DB8">
                  <w:pPr>
                    <w:pStyle w:val="TableColumnHeading"/>
                    <w:jc w:val="left"/>
                  </w:pPr>
                </w:p>
              </w:tc>
              <w:tc>
                <w:tcPr>
                  <w:tcW w:w="607" w:type="pct"/>
                  <w:gridSpan w:val="3"/>
                  <w:tcBorders>
                    <w:top w:val="single" w:sz="6" w:space="0" w:color="BFBFBF" w:themeColor="background1" w:themeShade="BF"/>
                    <w:bottom w:val="single" w:sz="6" w:space="0" w:color="BFBFBF" w:themeColor="background1" w:themeShade="BF"/>
                  </w:tcBorders>
                </w:tcPr>
                <w:p w14:paraId="11492260" w14:textId="7A6FC877" w:rsidR="00DD3F5D" w:rsidRPr="00C20133" w:rsidRDefault="00DD3F5D" w:rsidP="0030079A">
                  <w:pPr>
                    <w:pStyle w:val="TableColumnHeading"/>
                    <w:jc w:val="center"/>
                  </w:pPr>
                  <w:r w:rsidRPr="00C20133">
                    <w:t>NSW</w:t>
                  </w:r>
                  <w:r w:rsidRPr="00DB4BC1">
                    <w:rPr>
                      <w:rStyle w:val="NoteLabel"/>
                    </w:rPr>
                    <w:t>e</w:t>
                  </w:r>
                </w:p>
              </w:tc>
              <w:tc>
                <w:tcPr>
                  <w:tcW w:w="608" w:type="pct"/>
                  <w:gridSpan w:val="3"/>
                  <w:tcBorders>
                    <w:top w:val="single" w:sz="6" w:space="0" w:color="BFBFBF" w:themeColor="background1" w:themeShade="BF"/>
                    <w:bottom w:val="single" w:sz="6" w:space="0" w:color="BFBFBF" w:themeColor="background1" w:themeShade="BF"/>
                  </w:tcBorders>
                  <w:shd w:val="clear" w:color="auto" w:fill="auto"/>
                  <w:tcMar>
                    <w:top w:w="28" w:type="dxa"/>
                  </w:tcMar>
                </w:tcPr>
                <w:p w14:paraId="3DB868DC" w14:textId="2D6A77D1" w:rsidR="00DD3F5D" w:rsidRPr="00C20133" w:rsidRDefault="00DD3F5D" w:rsidP="0030079A">
                  <w:pPr>
                    <w:pStyle w:val="TableColumnHeading"/>
                    <w:jc w:val="center"/>
                  </w:pPr>
                  <w:r w:rsidRPr="00C20133">
                    <w:t>Vic</w:t>
                  </w:r>
                  <w:r w:rsidRPr="00DB4BC1">
                    <w:rPr>
                      <w:rStyle w:val="NoteLabel"/>
                    </w:rPr>
                    <w:t>f</w:t>
                  </w:r>
                </w:p>
              </w:tc>
              <w:tc>
                <w:tcPr>
                  <w:tcW w:w="608" w:type="pct"/>
                  <w:gridSpan w:val="3"/>
                  <w:tcBorders>
                    <w:top w:val="single" w:sz="6" w:space="0" w:color="BFBFBF" w:themeColor="background1" w:themeShade="BF"/>
                    <w:bottom w:val="single" w:sz="6" w:space="0" w:color="BFBFBF" w:themeColor="background1" w:themeShade="BF"/>
                  </w:tcBorders>
                  <w:shd w:val="clear" w:color="auto" w:fill="auto"/>
                  <w:tcMar>
                    <w:top w:w="28" w:type="dxa"/>
                  </w:tcMar>
                </w:tcPr>
                <w:p w14:paraId="669B8B4C" w14:textId="688346B1" w:rsidR="00DD3F5D" w:rsidRPr="00C20133" w:rsidRDefault="00DD3F5D" w:rsidP="0030079A">
                  <w:pPr>
                    <w:pStyle w:val="TableColumnHeading"/>
                    <w:jc w:val="center"/>
                  </w:pPr>
                  <w:r w:rsidRPr="00C20133">
                    <w:t>Qld</w:t>
                  </w:r>
                  <w:r w:rsidRPr="00DB4BC1">
                    <w:rPr>
                      <w:rStyle w:val="NoteLabel"/>
                    </w:rPr>
                    <w:t>g</w:t>
                  </w:r>
                </w:p>
              </w:tc>
              <w:tc>
                <w:tcPr>
                  <w:tcW w:w="608" w:type="pct"/>
                  <w:gridSpan w:val="4"/>
                  <w:tcBorders>
                    <w:top w:val="single" w:sz="6" w:space="0" w:color="BFBFBF" w:themeColor="background1" w:themeShade="BF"/>
                    <w:bottom w:val="single" w:sz="6" w:space="0" w:color="BFBFBF" w:themeColor="background1" w:themeShade="BF"/>
                  </w:tcBorders>
                </w:tcPr>
                <w:p w14:paraId="783BD878" w14:textId="0F3BF63B" w:rsidR="00DD3F5D" w:rsidRPr="00C20133" w:rsidRDefault="00DD3F5D" w:rsidP="0030079A">
                  <w:pPr>
                    <w:pStyle w:val="TableColumnHeading"/>
                    <w:jc w:val="center"/>
                  </w:pPr>
                  <w:r w:rsidRPr="00C20133">
                    <w:t>WA</w:t>
                  </w:r>
                  <w:r w:rsidRPr="00C20133">
                    <w:rPr>
                      <w:rStyle w:val="NoteLabel"/>
                    </w:rPr>
                    <w:t>h</w:t>
                  </w:r>
                </w:p>
              </w:tc>
              <w:tc>
                <w:tcPr>
                  <w:tcW w:w="608" w:type="pct"/>
                  <w:gridSpan w:val="4"/>
                  <w:tcBorders>
                    <w:top w:val="single" w:sz="6" w:space="0" w:color="BFBFBF" w:themeColor="background1" w:themeShade="BF"/>
                    <w:bottom w:val="single" w:sz="6" w:space="0" w:color="BFBFBF" w:themeColor="background1" w:themeShade="BF"/>
                  </w:tcBorders>
                </w:tcPr>
                <w:p w14:paraId="2AEC6915" w14:textId="0A61E790" w:rsidR="00DD3F5D" w:rsidRPr="00C20133" w:rsidRDefault="00DD3F5D" w:rsidP="0030079A">
                  <w:pPr>
                    <w:pStyle w:val="TableColumnHeading"/>
                    <w:jc w:val="center"/>
                  </w:pPr>
                  <w:r w:rsidRPr="00C20133">
                    <w:t>SA</w:t>
                  </w:r>
                  <w:r w:rsidRPr="00C20133">
                    <w:rPr>
                      <w:rStyle w:val="NoteLabel"/>
                    </w:rPr>
                    <w:t>i</w:t>
                  </w:r>
                </w:p>
              </w:tc>
              <w:tc>
                <w:tcPr>
                  <w:tcW w:w="608" w:type="pct"/>
                  <w:gridSpan w:val="4"/>
                  <w:tcBorders>
                    <w:top w:val="single" w:sz="6" w:space="0" w:color="BFBFBF" w:themeColor="background1" w:themeShade="BF"/>
                    <w:bottom w:val="single" w:sz="6" w:space="0" w:color="BFBFBF" w:themeColor="background1" w:themeShade="BF"/>
                  </w:tcBorders>
                </w:tcPr>
                <w:p w14:paraId="4A881D46" w14:textId="68FD46A4" w:rsidR="00DD3F5D" w:rsidRPr="00C20133" w:rsidRDefault="00DD3F5D" w:rsidP="0030079A">
                  <w:pPr>
                    <w:pStyle w:val="TableColumnHeading"/>
                    <w:jc w:val="center"/>
                  </w:pPr>
                  <w:r w:rsidRPr="00C20133">
                    <w:t>Tas</w:t>
                  </w:r>
                  <w:r w:rsidRPr="00C20133">
                    <w:rPr>
                      <w:rStyle w:val="NoteLabel"/>
                    </w:rPr>
                    <w:t>j</w:t>
                  </w:r>
                </w:p>
              </w:tc>
              <w:tc>
                <w:tcPr>
                  <w:tcW w:w="613" w:type="pct"/>
                  <w:gridSpan w:val="3"/>
                  <w:tcBorders>
                    <w:top w:val="single" w:sz="6" w:space="0" w:color="BFBFBF" w:themeColor="background1" w:themeShade="BF"/>
                    <w:bottom w:val="single" w:sz="6" w:space="0" w:color="BFBFBF" w:themeColor="background1" w:themeShade="BF"/>
                  </w:tcBorders>
                </w:tcPr>
                <w:p w14:paraId="62D7EDAE" w14:textId="578BFEC8" w:rsidR="00DD3F5D" w:rsidRPr="00C20133" w:rsidRDefault="00DD3F5D" w:rsidP="0030079A">
                  <w:pPr>
                    <w:pStyle w:val="TableColumnHeading"/>
                    <w:jc w:val="center"/>
                  </w:pPr>
                  <w:r w:rsidRPr="00C20133">
                    <w:t>ACT</w:t>
                  </w:r>
                  <w:r w:rsidRPr="00C20133">
                    <w:rPr>
                      <w:rStyle w:val="NoteLabel"/>
                    </w:rPr>
                    <w:t>k</w:t>
                  </w:r>
                </w:p>
              </w:tc>
              <w:tc>
                <w:tcPr>
                  <w:tcW w:w="256" w:type="pct"/>
                  <w:tcBorders>
                    <w:top w:val="single" w:sz="6" w:space="0" w:color="BFBFBF" w:themeColor="background1" w:themeShade="BF"/>
                    <w:bottom w:val="single" w:sz="6" w:space="0" w:color="BFBFBF" w:themeColor="background1" w:themeShade="BF"/>
                  </w:tcBorders>
                </w:tcPr>
                <w:p w14:paraId="10C61198" w14:textId="77777777" w:rsidR="00DD3F5D" w:rsidRPr="00C20133" w:rsidRDefault="00DD3F5D" w:rsidP="0030079A">
                  <w:pPr>
                    <w:pStyle w:val="TableColumnHeading"/>
                    <w:spacing w:before="140"/>
                    <w:ind w:right="28"/>
                    <w:jc w:val="center"/>
                  </w:pPr>
                  <w:r w:rsidRPr="00C20133">
                    <w:t>NT</w:t>
                  </w:r>
                </w:p>
              </w:tc>
            </w:tr>
            <w:tr w:rsidR="00DC0DFC" w:rsidRPr="00DC0DFC" w14:paraId="7364C114" w14:textId="77777777" w:rsidTr="4E7DCBFD">
              <w:tc>
                <w:tcPr>
                  <w:tcW w:w="5000" w:type="pct"/>
                  <w:gridSpan w:val="26"/>
                  <w:tcBorders>
                    <w:top w:val="single" w:sz="6" w:space="0" w:color="BFBFBF" w:themeColor="background1" w:themeShade="BF"/>
                  </w:tcBorders>
                </w:tcPr>
                <w:p w14:paraId="4ED5993E" w14:textId="77777777" w:rsidR="00DD3F5D" w:rsidRPr="00DC0DFC" w:rsidRDefault="00DD3F5D" w:rsidP="00055DB8">
                  <w:pPr>
                    <w:pStyle w:val="TableUnitsRow"/>
                    <w:ind w:right="28"/>
                    <w:jc w:val="left"/>
                  </w:pPr>
                  <w:r w:rsidRPr="00DC0DFC">
                    <w:rPr>
                      <w:rFonts w:cs="Arial"/>
                      <w:b/>
                      <w:szCs w:val="18"/>
                    </w:rPr>
                    <w:t xml:space="preserve">Eligibility — </w:t>
                  </w:r>
                  <w:r w:rsidRPr="00DC0DFC">
                    <w:rPr>
                      <w:rFonts w:cs="Arial"/>
                      <w:szCs w:val="18"/>
                    </w:rPr>
                    <w:t>Income and other asset limits</w:t>
                  </w:r>
                  <w:r w:rsidRPr="00DC0DFC">
                    <w:rPr>
                      <w:rFonts w:cs="Arial"/>
                      <w:b/>
                      <w:szCs w:val="18"/>
                    </w:rPr>
                    <w:t xml:space="preserve"> </w:t>
                  </w:r>
                  <w:r w:rsidRPr="00DC0DFC">
                    <w:t>vary depending on household type [number of people in the household]</w:t>
                  </w:r>
                </w:p>
              </w:tc>
            </w:tr>
            <w:tr w:rsidR="00DC0DFC" w:rsidRPr="00DC0DFC" w14:paraId="0033FB57" w14:textId="77777777" w:rsidTr="4E7DCBFD">
              <w:tc>
                <w:tcPr>
                  <w:tcW w:w="484" w:type="pct"/>
                  <w:tcBorders>
                    <w:top w:val="single" w:sz="6" w:space="0" w:color="BFBFBF" w:themeColor="background1" w:themeShade="BF"/>
                  </w:tcBorders>
                </w:tcPr>
                <w:p w14:paraId="7B500922" w14:textId="77777777" w:rsidR="00DD3F5D" w:rsidRPr="00DC0DFC" w:rsidRDefault="00DD3F5D" w:rsidP="00055DB8">
                  <w:pPr>
                    <w:pStyle w:val="TableUnitsRow"/>
                    <w:jc w:val="left"/>
                  </w:pPr>
                  <w:r w:rsidRPr="00DC0DFC">
                    <w:t>Income limit per week ($)</w:t>
                  </w:r>
                </w:p>
              </w:tc>
              <w:tc>
                <w:tcPr>
                  <w:tcW w:w="607" w:type="pct"/>
                  <w:gridSpan w:val="3"/>
                  <w:tcBorders>
                    <w:top w:val="single" w:sz="6" w:space="0" w:color="BFBFBF" w:themeColor="background1" w:themeShade="BF"/>
                  </w:tcBorders>
                </w:tcPr>
                <w:p w14:paraId="487B5AB5" w14:textId="77777777" w:rsidR="00DD3F5D" w:rsidRPr="006362A9" w:rsidRDefault="00DD3F5D" w:rsidP="00055DB8">
                  <w:pPr>
                    <w:pStyle w:val="TableUnitsRow"/>
                    <w:jc w:val="center"/>
                  </w:pPr>
                  <w:r w:rsidRPr="006362A9">
                    <w:t xml:space="preserve">655 (gross) </w:t>
                  </w:r>
                  <w:r w:rsidRPr="006362A9">
                    <w:rPr>
                      <w:szCs w:val="18"/>
                    </w:rPr>
                    <w:t>[1]</w:t>
                  </w:r>
                </w:p>
              </w:tc>
              <w:tc>
                <w:tcPr>
                  <w:tcW w:w="608" w:type="pct"/>
                  <w:gridSpan w:val="3"/>
                  <w:tcBorders>
                    <w:top w:val="single" w:sz="6" w:space="0" w:color="BFBFBF" w:themeColor="background1" w:themeShade="BF"/>
                  </w:tcBorders>
                </w:tcPr>
                <w:p w14:paraId="3F53A73F" w14:textId="77777777" w:rsidR="00DD3F5D" w:rsidRPr="006362A9" w:rsidRDefault="00DD3F5D" w:rsidP="00055DB8">
                  <w:pPr>
                    <w:pStyle w:val="TableUnitsRow"/>
                    <w:jc w:val="center"/>
                  </w:pPr>
                  <w:r w:rsidRPr="006362A9">
                    <w:t xml:space="preserve">580 </w:t>
                  </w:r>
                  <w:r w:rsidRPr="006362A9">
                    <w:rPr>
                      <w:szCs w:val="18"/>
                    </w:rPr>
                    <w:t>[1]</w:t>
                  </w:r>
                </w:p>
              </w:tc>
              <w:tc>
                <w:tcPr>
                  <w:tcW w:w="608" w:type="pct"/>
                  <w:gridSpan w:val="3"/>
                  <w:tcBorders>
                    <w:top w:val="single" w:sz="6" w:space="0" w:color="BFBFBF" w:themeColor="background1" w:themeShade="BF"/>
                  </w:tcBorders>
                </w:tcPr>
                <w:p w14:paraId="0743FF65" w14:textId="77777777" w:rsidR="00DD3F5D" w:rsidRPr="006362A9" w:rsidRDefault="00DD3F5D" w:rsidP="00055DB8">
                  <w:pPr>
                    <w:pStyle w:val="TableUnitsRow"/>
                    <w:ind w:right="28"/>
                    <w:jc w:val="center"/>
                  </w:pPr>
                  <w:r w:rsidRPr="006362A9">
                    <w:t xml:space="preserve">609 </w:t>
                  </w:r>
                  <w:r w:rsidRPr="006362A9">
                    <w:rPr>
                      <w:szCs w:val="18"/>
                    </w:rPr>
                    <w:t xml:space="preserve">[1]; </w:t>
                  </w:r>
                  <w:r w:rsidRPr="006362A9">
                    <w:t>755–999 [1 + 1–3 children]</w:t>
                  </w:r>
                </w:p>
              </w:tc>
              <w:tc>
                <w:tcPr>
                  <w:tcW w:w="608" w:type="pct"/>
                  <w:gridSpan w:val="4"/>
                  <w:tcBorders>
                    <w:top w:val="single" w:sz="6" w:space="0" w:color="BFBFBF" w:themeColor="background1" w:themeShade="BF"/>
                  </w:tcBorders>
                </w:tcPr>
                <w:p w14:paraId="56A9818F" w14:textId="77777777" w:rsidR="00DD3F5D" w:rsidRPr="006362A9" w:rsidRDefault="00DD3F5D" w:rsidP="00055DB8">
                  <w:pPr>
                    <w:pStyle w:val="TableUnitsRow"/>
                    <w:ind w:right="28"/>
                    <w:jc w:val="center"/>
                  </w:pPr>
                  <w:r w:rsidRPr="006362A9">
                    <w:t xml:space="preserve">450 </w:t>
                  </w:r>
                  <w:r w:rsidRPr="006362A9">
                    <w:rPr>
                      <w:szCs w:val="18"/>
                    </w:rPr>
                    <w:t>[1]</w:t>
                  </w:r>
                </w:p>
              </w:tc>
              <w:tc>
                <w:tcPr>
                  <w:tcW w:w="608" w:type="pct"/>
                  <w:gridSpan w:val="4"/>
                  <w:tcBorders>
                    <w:top w:val="single" w:sz="6" w:space="0" w:color="BFBFBF" w:themeColor="background1" w:themeShade="BF"/>
                  </w:tcBorders>
                </w:tcPr>
                <w:p w14:paraId="3FDC29CF" w14:textId="06CB34C1" w:rsidR="00DD3F5D" w:rsidRPr="006362A9" w:rsidRDefault="008013BB" w:rsidP="00055DB8">
                  <w:pPr>
                    <w:pStyle w:val="TableUnitsRow"/>
                    <w:ind w:right="28"/>
                    <w:jc w:val="center"/>
                  </w:pPr>
                  <w:r w:rsidRPr="006362A9">
                    <w:t>1033</w:t>
                  </w:r>
                  <w:r w:rsidR="00DD3F5D" w:rsidRPr="006362A9">
                    <w:t xml:space="preserve"> </w:t>
                  </w:r>
                  <w:r w:rsidR="00DD3F5D" w:rsidRPr="006362A9">
                    <w:rPr>
                      <w:szCs w:val="18"/>
                    </w:rPr>
                    <w:t>[1]</w:t>
                  </w:r>
                </w:p>
              </w:tc>
              <w:tc>
                <w:tcPr>
                  <w:tcW w:w="608" w:type="pct"/>
                  <w:gridSpan w:val="4"/>
                  <w:tcBorders>
                    <w:top w:val="single" w:sz="6" w:space="0" w:color="BFBFBF" w:themeColor="background1" w:themeShade="BF"/>
                  </w:tcBorders>
                  <w:shd w:val="clear" w:color="auto" w:fill="auto"/>
                </w:tcPr>
                <w:p w14:paraId="7C3CC263" w14:textId="77777777" w:rsidR="00DD3F5D" w:rsidRPr="006362A9" w:rsidRDefault="00DD3F5D" w:rsidP="00055DB8">
                  <w:pPr>
                    <w:pStyle w:val="TableUnitsRow"/>
                    <w:ind w:right="28"/>
                    <w:jc w:val="center"/>
                  </w:pPr>
                  <w:r w:rsidRPr="006362A9">
                    <w:t xml:space="preserve">561 </w:t>
                  </w:r>
                  <w:r w:rsidRPr="006362A9">
                    <w:rPr>
                      <w:szCs w:val="18"/>
                    </w:rPr>
                    <w:t>[1]</w:t>
                  </w:r>
                </w:p>
              </w:tc>
              <w:tc>
                <w:tcPr>
                  <w:tcW w:w="613" w:type="pct"/>
                  <w:gridSpan w:val="3"/>
                  <w:tcBorders>
                    <w:top w:val="single" w:sz="6" w:space="0" w:color="BFBFBF" w:themeColor="background1" w:themeShade="BF"/>
                  </w:tcBorders>
                  <w:shd w:val="clear" w:color="auto" w:fill="auto"/>
                </w:tcPr>
                <w:p w14:paraId="41FA4826" w14:textId="4BAC7FAE" w:rsidR="00DD3F5D" w:rsidRPr="006362A9" w:rsidRDefault="00DD3F5D" w:rsidP="00055DB8">
                  <w:pPr>
                    <w:pStyle w:val="TableUnitsRow"/>
                    <w:ind w:right="28"/>
                    <w:jc w:val="center"/>
                  </w:pPr>
                  <w:r w:rsidRPr="006362A9">
                    <w:t>7</w:t>
                  </w:r>
                  <w:r w:rsidR="00277FCA" w:rsidRPr="006362A9">
                    <w:t>68</w:t>
                  </w:r>
                  <w:r w:rsidRPr="006362A9">
                    <w:t xml:space="preserve"> </w:t>
                  </w:r>
                  <w:r w:rsidRPr="006362A9">
                    <w:rPr>
                      <w:szCs w:val="18"/>
                    </w:rPr>
                    <w:t>[1]</w:t>
                  </w:r>
                </w:p>
              </w:tc>
              <w:tc>
                <w:tcPr>
                  <w:tcW w:w="256" w:type="pct"/>
                  <w:tcBorders>
                    <w:top w:val="single" w:sz="6" w:space="0" w:color="BFBFBF" w:themeColor="background1" w:themeShade="BF"/>
                  </w:tcBorders>
                  <w:shd w:val="clear" w:color="auto" w:fill="auto"/>
                </w:tcPr>
                <w:p w14:paraId="39AEC122" w14:textId="77777777" w:rsidR="00DD3F5D" w:rsidRPr="006362A9" w:rsidRDefault="00DD3F5D" w:rsidP="00055DB8">
                  <w:pPr>
                    <w:pStyle w:val="TableUnitsRow"/>
                    <w:tabs>
                      <w:tab w:val="left" w:pos="465"/>
                      <w:tab w:val="center" w:pos="766"/>
                    </w:tabs>
                    <w:ind w:right="28"/>
                    <w:jc w:val="center"/>
                  </w:pPr>
                  <w:r w:rsidRPr="006362A9">
                    <w:t>na</w:t>
                  </w:r>
                </w:p>
              </w:tc>
            </w:tr>
            <w:tr w:rsidR="00DC0DFC" w:rsidRPr="00DC0DFC" w14:paraId="1E1D1352" w14:textId="77777777" w:rsidTr="4E7DCBFD">
              <w:trPr>
                <w:trHeight w:val="517"/>
              </w:trPr>
              <w:tc>
                <w:tcPr>
                  <w:tcW w:w="551" w:type="pct"/>
                  <w:gridSpan w:val="2"/>
                </w:tcPr>
                <w:p w14:paraId="653DDEBE" w14:textId="77777777" w:rsidR="00DD3F5D" w:rsidRPr="006362A9" w:rsidRDefault="00DD3F5D" w:rsidP="00055DB8">
                  <w:pPr>
                    <w:pStyle w:val="TableBodyText"/>
                    <w:jc w:val="left"/>
                    <w:rPr>
                      <w:szCs w:val="18"/>
                    </w:rPr>
                  </w:pPr>
                  <w:r w:rsidRPr="006362A9">
                    <w:rPr>
                      <w:szCs w:val="18"/>
                    </w:rPr>
                    <w:t>Other asset limits ($)</w:t>
                  </w:r>
                </w:p>
              </w:tc>
              <w:tc>
                <w:tcPr>
                  <w:tcW w:w="599" w:type="pct"/>
                  <w:gridSpan w:val="3"/>
                </w:tcPr>
                <w:p w14:paraId="11970A53" w14:textId="77777777" w:rsidR="00DD3F5D" w:rsidRPr="006362A9" w:rsidRDefault="00DD3F5D" w:rsidP="00055DB8">
                  <w:pPr>
                    <w:pStyle w:val="TableBodyText"/>
                    <w:jc w:val="center"/>
                    <w:rPr>
                      <w:szCs w:val="18"/>
                    </w:rPr>
                  </w:pPr>
                  <w:r w:rsidRPr="006362A9">
                    <w:rPr>
                      <w:szCs w:val="18"/>
                    </w:rPr>
                    <w:t>Nil</w:t>
                  </w:r>
                </w:p>
              </w:tc>
              <w:tc>
                <w:tcPr>
                  <w:tcW w:w="599" w:type="pct"/>
                  <w:gridSpan w:val="3"/>
                </w:tcPr>
                <w:p w14:paraId="6A73D835" w14:textId="77777777" w:rsidR="00DD3F5D" w:rsidRPr="006362A9" w:rsidRDefault="00DD3F5D" w:rsidP="00055DB8">
                  <w:pPr>
                    <w:pStyle w:val="TableBodyText"/>
                    <w:jc w:val="center"/>
                    <w:rPr>
                      <w:szCs w:val="18"/>
                    </w:rPr>
                  </w:pPr>
                  <w:r w:rsidRPr="006362A9">
                    <w:t xml:space="preserve">12 758 </w:t>
                  </w:r>
                  <w:r w:rsidRPr="006362A9">
                    <w:rPr>
                      <w:szCs w:val="18"/>
                    </w:rPr>
                    <w:t xml:space="preserve"> (Priority Access)</w:t>
                  </w:r>
                </w:p>
              </w:tc>
              <w:tc>
                <w:tcPr>
                  <w:tcW w:w="599" w:type="pct"/>
                  <w:gridSpan w:val="4"/>
                </w:tcPr>
                <w:p w14:paraId="793A6316" w14:textId="77777777" w:rsidR="00DD3F5D" w:rsidRPr="006362A9" w:rsidRDefault="00DD3F5D" w:rsidP="00055DB8">
                  <w:pPr>
                    <w:pStyle w:val="TableBodyText"/>
                    <w:ind w:right="28"/>
                    <w:jc w:val="center"/>
                    <w:rPr>
                      <w:szCs w:val="18"/>
                    </w:rPr>
                  </w:pPr>
                  <w:r w:rsidRPr="006362A9">
                    <w:rPr>
                      <w:szCs w:val="18"/>
                    </w:rPr>
                    <w:t>116 375 [1]</w:t>
                  </w:r>
                </w:p>
                <w:p w14:paraId="4FF82A2B" w14:textId="77777777" w:rsidR="00DD3F5D" w:rsidRPr="006362A9" w:rsidRDefault="00DD3F5D" w:rsidP="00055DB8">
                  <w:pPr>
                    <w:pStyle w:val="TableBodyText"/>
                    <w:ind w:right="28"/>
                    <w:jc w:val="center"/>
                    <w:rPr>
                      <w:szCs w:val="18"/>
                    </w:rPr>
                  </w:pPr>
                  <w:r w:rsidRPr="006362A9">
                    <w:rPr>
                      <w:szCs w:val="18"/>
                    </w:rPr>
                    <w:t xml:space="preserve">148 625 [&gt;=2] </w:t>
                  </w:r>
                </w:p>
              </w:tc>
              <w:tc>
                <w:tcPr>
                  <w:tcW w:w="599" w:type="pct"/>
                  <w:gridSpan w:val="4"/>
                </w:tcPr>
                <w:p w14:paraId="7E76921A" w14:textId="77777777" w:rsidR="00DD3F5D" w:rsidRPr="006362A9" w:rsidRDefault="00DD3F5D" w:rsidP="00055DB8">
                  <w:pPr>
                    <w:pStyle w:val="TableBodyText"/>
                    <w:ind w:right="28"/>
                    <w:jc w:val="center"/>
                    <w:rPr>
                      <w:szCs w:val="18"/>
                    </w:rPr>
                  </w:pPr>
                  <w:r w:rsidRPr="006362A9">
                    <w:rPr>
                      <w:szCs w:val="18"/>
                    </w:rPr>
                    <w:t>38 400 [1]</w:t>
                  </w:r>
                </w:p>
                <w:p w14:paraId="25CFF186" w14:textId="77777777" w:rsidR="00DD3F5D" w:rsidRPr="006362A9" w:rsidRDefault="00DD3F5D" w:rsidP="00055DB8">
                  <w:pPr>
                    <w:pStyle w:val="TableBodyText"/>
                    <w:ind w:right="28"/>
                    <w:jc w:val="center"/>
                    <w:rPr>
                      <w:szCs w:val="18"/>
                    </w:rPr>
                  </w:pPr>
                </w:p>
              </w:tc>
              <w:tc>
                <w:tcPr>
                  <w:tcW w:w="599" w:type="pct"/>
                  <w:gridSpan w:val="4"/>
                  <w:shd w:val="clear" w:color="auto" w:fill="auto"/>
                </w:tcPr>
                <w:p w14:paraId="357161BF" w14:textId="3876BFE0" w:rsidR="00DD3F5D" w:rsidRPr="006362A9" w:rsidRDefault="00130DB4" w:rsidP="00055DB8">
                  <w:pPr>
                    <w:pStyle w:val="TableBodyText"/>
                    <w:ind w:right="28"/>
                    <w:jc w:val="center"/>
                  </w:pPr>
                  <w:r w:rsidRPr="006362A9">
                    <w:rPr>
                      <w:szCs w:val="18"/>
                    </w:rPr>
                    <w:t xml:space="preserve">482 500 </w:t>
                  </w:r>
                  <w:r w:rsidR="00DD3F5D" w:rsidRPr="006362A9">
                    <w:rPr>
                      <w:szCs w:val="18"/>
                    </w:rPr>
                    <w:t>[1]</w:t>
                  </w:r>
                </w:p>
                <w:p w14:paraId="59BF9B7A" w14:textId="31B0F87E" w:rsidR="00DD3F5D" w:rsidRPr="006362A9" w:rsidRDefault="00C14710" w:rsidP="00055DB8">
                  <w:pPr>
                    <w:pStyle w:val="TableBodyText"/>
                    <w:ind w:right="28"/>
                    <w:jc w:val="center"/>
                    <w:rPr>
                      <w:szCs w:val="18"/>
                    </w:rPr>
                  </w:pPr>
                  <w:r w:rsidRPr="006362A9">
                    <w:t xml:space="preserve">616 000 </w:t>
                  </w:r>
                  <w:r w:rsidR="00DD3F5D" w:rsidRPr="006362A9">
                    <w:t>[&gt;=2]</w:t>
                  </w:r>
                </w:p>
              </w:tc>
              <w:tc>
                <w:tcPr>
                  <w:tcW w:w="600" w:type="pct"/>
                  <w:gridSpan w:val="4"/>
                </w:tcPr>
                <w:p w14:paraId="26BC6EEA" w14:textId="77777777" w:rsidR="00DD3F5D" w:rsidRPr="006362A9" w:rsidRDefault="00DD3F5D" w:rsidP="00055DB8">
                  <w:pPr>
                    <w:pStyle w:val="TableBodyText"/>
                    <w:ind w:right="28"/>
                    <w:jc w:val="center"/>
                    <w:rPr>
                      <w:szCs w:val="18"/>
                    </w:rPr>
                  </w:pPr>
                  <w:r w:rsidRPr="006362A9">
                    <w:rPr>
                      <w:szCs w:val="18"/>
                    </w:rPr>
                    <w:t>35 000 [1]</w:t>
                  </w:r>
                </w:p>
              </w:tc>
              <w:tc>
                <w:tcPr>
                  <w:tcW w:w="599" w:type="pct"/>
                </w:tcPr>
                <w:p w14:paraId="25F7C773" w14:textId="77777777" w:rsidR="00DD3F5D" w:rsidRPr="006362A9" w:rsidRDefault="00DD3F5D" w:rsidP="00055DB8">
                  <w:pPr>
                    <w:pStyle w:val="TableBodyText"/>
                    <w:ind w:right="28"/>
                    <w:jc w:val="center"/>
                    <w:rPr>
                      <w:szCs w:val="18"/>
                    </w:rPr>
                  </w:pPr>
                  <w:r w:rsidRPr="006362A9">
                    <w:rPr>
                      <w:szCs w:val="18"/>
                    </w:rPr>
                    <w:t>40 000</w:t>
                  </w:r>
                </w:p>
              </w:tc>
              <w:tc>
                <w:tcPr>
                  <w:tcW w:w="256" w:type="pct"/>
                </w:tcPr>
                <w:p w14:paraId="2DAB4259" w14:textId="77777777" w:rsidR="00DD3F5D" w:rsidRPr="006362A9" w:rsidRDefault="00DD3F5D" w:rsidP="00055DB8">
                  <w:pPr>
                    <w:pStyle w:val="TableBodyText"/>
                    <w:ind w:right="28"/>
                    <w:jc w:val="center"/>
                    <w:rPr>
                      <w:szCs w:val="18"/>
                    </w:rPr>
                  </w:pPr>
                  <w:r w:rsidRPr="006362A9">
                    <w:t>na</w:t>
                  </w:r>
                </w:p>
              </w:tc>
            </w:tr>
            <w:tr w:rsidR="00DC0DFC" w:rsidRPr="00DC0DFC" w14:paraId="2AA91051" w14:textId="77777777" w:rsidTr="4E7DCBFD">
              <w:tc>
                <w:tcPr>
                  <w:tcW w:w="484" w:type="pct"/>
                  <w:shd w:val="clear" w:color="auto" w:fill="auto"/>
                </w:tcPr>
                <w:p w14:paraId="5C7AF319" w14:textId="77777777" w:rsidR="00DD3F5D" w:rsidRPr="00DC0DFC" w:rsidRDefault="00DD3F5D" w:rsidP="00055DB8">
                  <w:pPr>
                    <w:pStyle w:val="TableBodyText"/>
                    <w:jc w:val="left"/>
                  </w:pPr>
                  <w:r w:rsidRPr="00DC0DFC">
                    <w:t>Minimum age (years)</w:t>
                  </w:r>
                </w:p>
              </w:tc>
              <w:tc>
                <w:tcPr>
                  <w:tcW w:w="607" w:type="pct"/>
                  <w:gridSpan w:val="3"/>
                </w:tcPr>
                <w:p w14:paraId="73CCFCC4" w14:textId="77777777" w:rsidR="00DD3F5D" w:rsidRPr="006362A9" w:rsidRDefault="00DD3F5D" w:rsidP="00055DB8">
                  <w:pPr>
                    <w:pStyle w:val="TableBodyText"/>
                    <w:jc w:val="center"/>
                  </w:pPr>
                  <w:r w:rsidRPr="006362A9">
                    <w:t>18</w:t>
                  </w:r>
                </w:p>
              </w:tc>
              <w:tc>
                <w:tcPr>
                  <w:tcW w:w="608" w:type="pct"/>
                  <w:gridSpan w:val="3"/>
                  <w:shd w:val="clear" w:color="auto" w:fill="auto"/>
                </w:tcPr>
                <w:p w14:paraId="1A09E09E" w14:textId="77777777" w:rsidR="00DD3F5D" w:rsidRPr="006362A9" w:rsidRDefault="00DD3F5D" w:rsidP="00055DB8">
                  <w:pPr>
                    <w:pStyle w:val="TableBodyText"/>
                    <w:jc w:val="center"/>
                  </w:pPr>
                  <w:r w:rsidRPr="006362A9">
                    <w:t>15</w:t>
                  </w:r>
                </w:p>
              </w:tc>
              <w:tc>
                <w:tcPr>
                  <w:tcW w:w="608" w:type="pct"/>
                  <w:gridSpan w:val="3"/>
                  <w:shd w:val="clear" w:color="auto" w:fill="auto"/>
                </w:tcPr>
                <w:p w14:paraId="07FAD928" w14:textId="77777777" w:rsidR="00DD3F5D" w:rsidRPr="006362A9" w:rsidRDefault="00DD3F5D" w:rsidP="00055DB8">
                  <w:pPr>
                    <w:pStyle w:val="TableBodyText"/>
                    <w:ind w:right="28"/>
                    <w:jc w:val="center"/>
                  </w:pPr>
                  <w:r w:rsidRPr="006362A9">
                    <w:t>None</w:t>
                  </w:r>
                </w:p>
              </w:tc>
              <w:tc>
                <w:tcPr>
                  <w:tcW w:w="608" w:type="pct"/>
                  <w:gridSpan w:val="4"/>
                </w:tcPr>
                <w:p w14:paraId="3D697925" w14:textId="77777777" w:rsidR="00DD3F5D" w:rsidRPr="006362A9" w:rsidRDefault="00DD3F5D" w:rsidP="00055DB8">
                  <w:pPr>
                    <w:pStyle w:val="TableBodyText"/>
                    <w:ind w:right="28"/>
                    <w:jc w:val="center"/>
                  </w:pPr>
                  <w:r w:rsidRPr="006362A9">
                    <w:t>16</w:t>
                  </w:r>
                </w:p>
              </w:tc>
              <w:tc>
                <w:tcPr>
                  <w:tcW w:w="608" w:type="pct"/>
                  <w:gridSpan w:val="4"/>
                </w:tcPr>
                <w:p w14:paraId="12596154" w14:textId="77777777" w:rsidR="00DD3F5D" w:rsidRPr="006362A9" w:rsidRDefault="00DD3F5D" w:rsidP="00055DB8">
                  <w:pPr>
                    <w:pStyle w:val="TableBodyText"/>
                    <w:ind w:right="28"/>
                    <w:jc w:val="center"/>
                  </w:pPr>
                  <w:r w:rsidRPr="006362A9">
                    <w:t>None</w:t>
                  </w:r>
                </w:p>
              </w:tc>
              <w:tc>
                <w:tcPr>
                  <w:tcW w:w="608" w:type="pct"/>
                  <w:gridSpan w:val="4"/>
                </w:tcPr>
                <w:p w14:paraId="09F781AD" w14:textId="77777777" w:rsidR="00DD3F5D" w:rsidRPr="006362A9" w:rsidRDefault="00DD3F5D" w:rsidP="00055DB8">
                  <w:pPr>
                    <w:pStyle w:val="TableBodyText"/>
                    <w:ind w:right="28"/>
                    <w:jc w:val="center"/>
                  </w:pPr>
                  <w:r w:rsidRPr="006362A9">
                    <w:t>16</w:t>
                  </w:r>
                </w:p>
              </w:tc>
              <w:tc>
                <w:tcPr>
                  <w:tcW w:w="613" w:type="pct"/>
                  <w:gridSpan w:val="3"/>
                </w:tcPr>
                <w:p w14:paraId="77367920" w14:textId="77777777" w:rsidR="00DD3F5D" w:rsidRPr="006362A9" w:rsidRDefault="00DD3F5D" w:rsidP="00055DB8">
                  <w:pPr>
                    <w:pStyle w:val="TableBodyText"/>
                    <w:ind w:right="28"/>
                    <w:jc w:val="center"/>
                  </w:pPr>
                  <w:r w:rsidRPr="006362A9">
                    <w:t>16</w:t>
                  </w:r>
                </w:p>
              </w:tc>
              <w:tc>
                <w:tcPr>
                  <w:tcW w:w="256" w:type="pct"/>
                </w:tcPr>
                <w:p w14:paraId="7FD1B210" w14:textId="77777777" w:rsidR="00DD3F5D" w:rsidRPr="006362A9" w:rsidRDefault="00DD3F5D" w:rsidP="00055DB8">
                  <w:pPr>
                    <w:pStyle w:val="TableBodyText"/>
                    <w:ind w:right="28"/>
                    <w:jc w:val="center"/>
                  </w:pPr>
                  <w:r w:rsidRPr="006362A9">
                    <w:t>na</w:t>
                  </w:r>
                </w:p>
              </w:tc>
            </w:tr>
            <w:tr w:rsidR="00DC0DFC" w:rsidRPr="00DC0DFC" w14:paraId="42F2111C" w14:textId="77777777" w:rsidTr="4E7DCBFD">
              <w:trPr>
                <w:trHeight w:val="580"/>
              </w:trPr>
              <w:tc>
                <w:tcPr>
                  <w:tcW w:w="484" w:type="pct"/>
                  <w:shd w:val="clear" w:color="auto" w:fill="auto"/>
                </w:tcPr>
                <w:p w14:paraId="32E3BAAF" w14:textId="77777777" w:rsidR="00DD3F5D" w:rsidRPr="00DC0DFC" w:rsidRDefault="00DD3F5D" w:rsidP="00055DB8">
                  <w:pPr>
                    <w:pStyle w:val="TableBodyText"/>
                    <w:jc w:val="left"/>
                    <w:rPr>
                      <w:b/>
                      <w:szCs w:val="18"/>
                    </w:rPr>
                  </w:pPr>
                  <w:r w:rsidRPr="00DC0DFC">
                    <w:rPr>
                      <w:b/>
                      <w:szCs w:val="18"/>
                    </w:rPr>
                    <w:t>Waiting list:</w:t>
                  </w:r>
                </w:p>
                <w:p w14:paraId="657D9B72" w14:textId="77777777" w:rsidR="00DD3F5D" w:rsidRPr="00DC0DFC" w:rsidRDefault="00DD3F5D" w:rsidP="00055DB8">
                  <w:pPr>
                    <w:pStyle w:val="TableBodyText"/>
                    <w:jc w:val="left"/>
                    <w:rPr>
                      <w:b/>
                      <w:szCs w:val="18"/>
                    </w:rPr>
                  </w:pPr>
                  <w:r w:rsidRPr="00DC0DFC">
                    <w:rPr>
                      <w:szCs w:val="18"/>
                    </w:rPr>
                    <w:t>Segment by</w:t>
                  </w:r>
                  <w:r w:rsidRPr="00DC0DFC">
                    <w:rPr>
                      <w:b/>
                      <w:szCs w:val="18"/>
                    </w:rPr>
                    <w:tab/>
                  </w:r>
                </w:p>
              </w:tc>
              <w:tc>
                <w:tcPr>
                  <w:tcW w:w="607" w:type="pct"/>
                  <w:gridSpan w:val="3"/>
                </w:tcPr>
                <w:p w14:paraId="1EC15662" w14:textId="77777777" w:rsidR="00DD3F5D" w:rsidRPr="006362A9" w:rsidRDefault="00DD3F5D" w:rsidP="00055DB8">
                  <w:pPr>
                    <w:pStyle w:val="TableBodyText"/>
                    <w:jc w:val="center"/>
                    <w:rPr>
                      <w:szCs w:val="18"/>
                    </w:rPr>
                  </w:pPr>
                  <w:r w:rsidRPr="006362A9">
                    <w:rPr>
                      <w:szCs w:val="18"/>
                    </w:rPr>
                    <w:t>Single list of approved clients</w:t>
                  </w:r>
                </w:p>
              </w:tc>
              <w:tc>
                <w:tcPr>
                  <w:tcW w:w="608" w:type="pct"/>
                  <w:gridSpan w:val="3"/>
                  <w:shd w:val="clear" w:color="auto" w:fill="auto"/>
                </w:tcPr>
                <w:p w14:paraId="7A1BABA4" w14:textId="77777777" w:rsidR="00DD3F5D" w:rsidRPr="006362A9" w:rsidRDefault="00DD3F5D" w:rsidP="00055DB8">
                  <w:pPr>
                    <w:pStyle w:val="TableBodyText"/>
                    <w:jc w:val="center"/>
                    <w:rPr>
                      <w:szCs w:val="18"/>
                    </w:rPr>
                  </w:pPr>
                  <w:r w:rsidRPr="006362A9">
                    <w:rPr>
                      <w:szCs w:val="18"/>
                    </w:rPr>
                    <w:t>Six priority segments and a register of interest</w:t>
                  </w:r>
                </w:p>
              </w:tc>
              <w:tc>
                <w:tcPr>
                  <w:tcW w:w="608" w:type="pct"/>
                  <w:gridSpan w:val="3"/>
                  <w:shd w:val="clear" w:color="auto" w:fill="auto"/>
                </w:tcPr>
                <w:p w14:paraId="12949BB5" w14:textId="77777777" w:rsidR="00DD3F5D" w:rsidRPr="006362A9" w:rsidRDefault="00DD3F5D" w:rsidP="00055DB8">
                  <w:pPr>
                    <w:pStyle w:val="TableBodyText"/>
                    <w:ind w:right="28"/>
                    <w:jc w:val="center"/>
                    <w:rPr>
                      <w:szCs w:val="18"/>
                    </w:rPr>
                  </w:pPr>
                  <w:r w:rsidRPr="006362A9">
                    <w:rPr>
                      <w:szCs w:val="18"/>
                    </w:rPr>
                    <w:t>Need (four</w:t>
                  </w:r>
                  <w:r w:rsidRPr="006362A9">
                    <w:rPr>
                      <w:szCs w:val="18"/>
                      <w:shd w:val="clear" w:color="auto" w:fill="FFFF00"/>
                    </w:rPr>
                    <w:t xml:space="preserve"> </w:t>
                  </w:r>
                  <w:r w:rsidRPr="006362A9">
                    <w:rPr>
                      <w:szCs w:val="18"/>
                    </w:rPr>
                    <w:t>segments)</w:t>
                  </w:r>
                </w:p>
              </w:tc>
              <w:tc>
                <w:tcPr>
                  <w:tcW w:w="608" w:type="pct"/>
                  <w:gridSpan w:val="4"/>
                </w:tcPr>
                <w:p w14:paraId="6A261C3C" w14:textId="77777777" w:rsidR="00DD3F5D" w:rsidRPr="006362A9" w:rsidRDefault="00DD3F5D" w:rsidP="00055DB8">
                  <w:pPr>
                    <w:pStyle w:val="TableBodyText"/>
                    <w:ind w:right="28"/>
                    <w:jc w:val="center"/>
                    <w:rPr>
                      <w:szCs w:val="18"/>
                    </w:rPr>
                  </w:pPr>
                  <w:r w:rsidRPr="006362A9">
                    <w:rPr>
                      <w:rFonts w:cs="Arial"/>
                      <w:szCs w:val="18"/>
                    </w:rPr>
                    <w:t>Need (four segments)</w:t>
                  </w:r>
                </w:p>
              </w:tc>
              <w:tc>
                <w:tcPr>
                  <w:tcW w:w="608" w:type="pct"/>
                  <w:gridSpan w:val="4"/>
                </w:tcPr>
                <w:p w14:paraId="53160D73" w14:textId="77777777" w:rsidR="00DD3F5D" w:rsidRPr="006362A9" w:rsidRDefault="00DD3F5D" w:rsidP="00055DB8">
                  <w:pPr>
                    <w:pStyle w:val="TableBodyText"/>
                    <w:ind w:right="28"/>
                    <w:jc w:val="center"/>
                    <w:rPr>
                      <w:szCs w:val="18"/>
                    </w:rPr>
                  </w:pPr>
                  <w:r w:rsidRPr="006362A9">
                    <w:rPr>
                      <w:rFonts w:cs="Arial"/>
                      <w:szCs w:val="18"/>
                    </w:rPr>
                    <w:t>Need (four segments)</w:t>
                  </w:r>
                </w:p>
              </w:tc>
              <w:tc>
                <w:tcPr>
                  <w:tcW w:w="608" w:type="pct"/>
                  <w:gridSpan w:val="4"/>
                </w:tcPr>
                <w:p w14:paraId="100EE4F3" w14:textId="77777777" w:rsidR="00DD3F5D" w:rsidRPr="006362A9" w:rsidRDefault="00DD3F5D" w:rsidP="00055DB8">
                  <w:pPr>
                    <w:pStyle w:val="TableBodyText"/>
                    <w:ind w:right="28"/>
                    <w:jc w:val="center"/>
                    <w:rPr>
                      <w:szCs w:val="18"/>
                    </w:rPr>
                  </w:pPr>
                  <w:r w:rsidRPr="006362A9">
                    <w:rPr>
                      <w:rFonts w:cs="Arial"/>
                      <w:szCs w:val="18"/>
                    </w:rPr>
                    <w:t>Three levels: Priority (Exiting); Priority; General</w:t>
                  </w:r>
                </w:p>
              </w:tc>
              <w:tc>
                <w:tcPr>
                  <w:tcW w:w="613" w:type="pct"/>
                  <w:gridSpan w:val="3"/>
                </w:tcPr>
                <w:p w14:paraId="2671EE88" w14:textId="77777777" w:rsidR="00DD3F5D" w:rsidRPr="006362A9" w:rsidRDefault="00DD3F5D" w:rsidP="00055DB8">
                  <w:pPr>
                    <w:pStyle w:val="TableBodyText"/>
                    <w:ind w:right="28"/>
                    <w:jc w:val="center"/>
                    <w:rPr>
                      <w:szCs w:val="18"/>
                    </w:rPr>
                  </w:pPr>
                  <w:r w:rsidRPr="006362A9">
                    <w:rPr>
                      <w:rFonts w:cs="Arial"/>
                      <w:szCs w:val="18"/>
                    </w:rPr>
                    <w:t>Need (three segments)</w:t>
                  </w:r>
                </w:p>
              </w:tc>
              <w:tc>
                <w:tcPr>
                  <w:tcW w:w="256" w:type="pct"/>
                </w:tcPr>
                <w:p w14:paraId="7BD8B058" w14:textId="77777777" w:rsidR="00DD3F5D" w:rsidRPr="006362A9" w:rsidRDefault="00DD3F5D" w:rsidP="00055DB8">
                  <w:pPr>
                    <w:pStyle w:val="TableBodyText"/>
                    <w:ind w:right="28"/>
                    <w:jc w:val="center"/>
                    <w:rPr>
                      <w:szCs w:val="18"/>
                    </w:rPr>
                  </w:pPr>
                  <w:r w:rsidRPr="006362A9">
                    <w:t>na</w:t>
                  </w:r>
                </w:p>
              </w:tc>
            </w:tr>
            <w:tr w:rsidR="00DC0DFC" w:rsidRPr="00DC0DFC" w14:paraId="27F0177D" w14:textId="77777777" w:rsidTr="4E7DCBFD">
              <w:tc>
                <w:tcPr>
                  <w:tcW w:w="484" w:type="pct"/>
                  <w:shd w:val="clear" w:color="auto" w:fill="auto"/>
                </w:tcPr>
                <w:p w14:paraId="5B8743CD" w14:textId="77777777" w:rsidR="00DD3F5D" w:rsidRPr="00DC0DFC" w:rsidRDefault="00DD3F5D" w:rsidP="00055DB8">
                  <w:pPr>
                    <w:pStyle w:val="TableBodyText"/>
                    <w:jc w:val="left"/>
                    <w:rPr>
                      <w:b/>
                    </w:rPr>
                  </w:pPr>
                  <w:r w:rsidRPr="00DC0DFC">
                    <w:rPr>
                      <w:b/>
                    </w:rPr>
                    <w:t>Tenure</w:t>
                  </w:r>
                </w:p>
              </w:tc>
              <w:tc>
                <w:tcPr>
                  <w:tcW w:w="4516" w:type="pct"/>
                  <w:gridSpan w:val="25"/>
                </w:tcPr>
                <w:p w14:paraId="6F40E723" w14:textId="77777777" w:rsidR="00DD3F5D" w:rsidRPr="006362A9" w:rsidRDefault="00DD3F5D" w:rsidP="00055DB8">
                  <w:pPr>
                    <w:pStyle w:val="TableBodyText"/>
                    <w:ind w:right="28"/>
                    <w:jc w:val="center"/>
                  </w:pPr>
                </w:p>
              </w:tc>
            </w:tr>
            <w:tr w:rsidR="00DC0DFC" w:rsidRPr="00DC0DFC" w14:paraId="0EFAD231" w14:textId="77777777" w:rsidTr="4E7DCBFD">
              <w:tc>
                <w:tcPr>
                  <w:tcW w:w="484" w:type="pct"/>
                  <w:shd w:val="clear" w:color="auto" w:fill="auto"/>
                </w:tcPr>
                <w:p w14:paraId="40C1CDEF" w14:textId="77777777" w:rsidR="00DD3F5D" w:rsidRPr="00DC0DFC" w:rsidRDefault="00DD3F5D" w:rsidP="00055DB8">
                  <w:pPr>
                    <w:pStyle w:val="TableBodyText"/>
                    <w:jc w:val="left"/>
                  </w:pPr>
                  <w:r w:rsidRPr="00DC0DFC">
                    <w:t>Probation period</w:t>
                  </w:r>
                </w:p>
              </w:tc>
              <w:tc>
                <w:tcPr>
                  <w:tcW w:w="607" w:type="pct"/>
                  <w:gridSpan w:val="3"/>
                </w:tcPr>
                <w:p w14:paraId="66061427" w14:textId="77777777" w:rsidR="00DD3F5D" w:rsidRPr="006362A9" w:rsidRDefault="00DD3F5D" w:rsidP="00055DB8">
                  <w:pPr>
                    <w:pStyle w:val="TableBodyText"/>
                    <w:jc w:val="center"/>
                  </w:pPr>
                  <w:r w:rsidRPr="006362A9">
                    <w:t>Nil</w:t>
                  </w:r>
                </w:p>
              </w:tc>
              <w:tc>
                <w:tcPr>
                  <w:tcW w:w="608" w:type="pct"/>
                  <w:gridSpan w:val="3"/>
                  <w:shd w:val="clear" w:color="auto" w:fill="auto"/>
                </w:tcPr>
                <w:p w14:paraId="123FFD34" w14:textId="7BB5F717" w:rsidR="00DD3F5D" w:rsidRPr="006362A9" w:rsidRDefault="00DD3F5D" w:rsidP="00055DB8">
                  <w:pPr>
                    <w:pStyle w:val="TableBodyText"/>
                    <w:jc w:val="center"/>
                  </w:pPr>
                  <w:r w:rsidRPr="006362A9">
                    <w:t>CHO</w:t>
                  </w:r>
                  <w:r w:rsidR="0033402F">
                    <w:t>–</w:t>
                  </w:r>
                  <w:r w:rsidRPr="006362A9">
                    <w:t>policy based</w:t>
                  </w:r>
                </w:p>
              </w:tc>
              <w:tc>
                <w:tcPr>
                  <w:tcW w:w="608" w:type="pct"/>
                  <w:gridSpan w:val="3"/>
                  <w:shd w:val="clear" w:color="auto" w:fill="auto"/>
                </w:tcPr>
                <w:p w14:paraId="3BE16FFC" w14:textId="77777777" w:rsidR="00DD3F5D" w:rsidRPr="006362A9" w:rsidRDefault="00DD3F5D" w:rsidP="00055DB8">
                  <w:pPr>
                    <w:pStyle w:val="TableBodyText"/>
                    <w:ind w:right="28"/>
                    <w:jc w:val="center"/>
                  </w:pPr>
                  <w:r w:rsidRPr="006362A9">
                    <w:t>CHO provider discretion</w:t>
                  </w:r>
                </w:p>
              </w:tc>
              <w:tc>
                <w:tcPr>
                  <w:tcW w:w="608" w:type="pct"/>
                  <w:gridSpan w:val="4"/>
                </w:tcPr>
                <w:p w14:paraId="5291E3F2" w14:textId="77777777" w:rsidR="00DD3F5D" w:rsidRPr="006362A9" w:rsidRDefault="00DD3F5D" w:rsidP="00055DB8">
                  <w:pPr>
                    <w:pStyle w:val="TableBodyText"/>
                    <w:ind w:right="28"/>
                    <w:jc w:val="center"/>
                  </w:pPr>
                  <w:r w:rsidRPr="006362A9">
                    <w:t>None</w:t>
                  </w:r>
                </w:p>
              </w:tc>
              <w:tc>
                <w:tcPr>
                  <w:tcW w:w="608" w:type="pct"/>
                  <w:gridSpan w:val="4"/>
                </w:tcPr>
                <w:p w14:paraId="41E2AD1B" w14:textId="77777777" w:rsidR="00DD3F5D" w:rsidRPr="006362A9" w:rsidRDefault="00DD3F5D" w:rsidP="00055DB8">
                  <w:pPr>
                    <w:pStyle w:val="TableBodyText"/>
                    <w:ind w:right="28"/>
                    <w:jc w:val="center"/>
                  </w:pPr>
                  <w:r w:rsidRPr="006362A9">
                    <w:t>12 months std up to 24 months</w:t>
                  </w:r>
                </w:p>
              </w:tc>
              <w:tc>
                <w:tcPr>
                  <w:tcW w:w="609" w:type="pct"/>
                  <w:gridSpan w:val="4"/>
                </w:tcPr>
                <w:p w14:paraId="3017B7C1" w14:textId="77777777" w:rsidR="00DD3F5D" w:rsidRPr="006362A9" w:rsidRDefault="00DD3F5D" w:rsidP="00055DB8">
                  <w:pPr>
                    <w:pStyle w:val="TableBodyText"/>
                    <w:ind w:right="28"/>
                    <w:jc w:val="center"/>
                  </w:pPr>
                  <w:r w:rsidRPr="006362A9">
                    <w:t>Varies by CHO</w:t>
                  </w:r>
                </w:p>
              </w:tc>
              <w:tc>
                <w:tcPr>
                  <w:tcW w:w="612" w:type="pct"/>
                  <w:gridSpan w:val="3"/>
                </w:tcPr>
                <w:p w14:paraId="18F143E1" w14:textId="77777777" w:rsidR="00DD3F5D" w:rsidRPr="006362A9" w:rsidRDefault="00DD3F5D" w:rsidP="00055DB8">
                  <w:pPr>
                    <w:pStyle w:val="TableBodyText"/>
                    <w:ind w:right="28"/>
                    <w:jc w:val="center"/>
                  </w:pPr>
                  <w:r w:rsidRPr="006362A9">
                    <w:t>None</w:t>
                  </w:r>
                </w:p>
              </w:tc>
              <w:tc>
                <w:tcPr>
                  <w:tcW w:w="256" w:type="pct"/>
                </w:tcPr>
                <w:p w14:paraId="7AC5BD44" w14:textId="77777777" w:rsidR="00DD3F5D" w:rsidRPr="006362A9" w:rsidRDefault="00DD3F5D" w:rsidP="00055DB8">
                  <w:pPr>
                    <w:pStyle w:val="TableBodyText"/>
                    <w:ind w:right="28"/>
                    <w:jc w:val="center"/>
                  </w:pPr>
                  <w:r w:rsidRPr="006362A9">
                    <w:t>na</w:t>
                  </w:r>
                </w:p>
              </w:tc>
            </w:tr>
            <w:tr w:rsidR="00DC0DFC" w:rsidRPr="00DC0DFC" w14:paraId="1275135D" w14:textId="77777777" w:rsidTr="4E7DCBFD">
              <w:tc>
                <w:tcPr>
                  <w:tcW w:w="484" w:type="pct"/>
                  <w:shd w:val="clear" w:color="auto" w:fill="auto"/>
                </w:tcPr>
                <w:p w14:paraId="475E5846" w14:textId="77777777" w:rsidR="00DD3F5D" w:rsidRPr="00DC0DFC" w:rsidRDefault="00DD3F5D" w:rsidP="00055DB8">
                  <w:pPr>
                    <w:pStyle w:val="TableBodyText"/>
                    <w:jc w:val="left"/>
                  </w:pPr>
                  <w:r w:rsidRPr="00DC0DFC">
                    <w:t>Fixed term</w:t>
                  </w:r>
                </w:p>
              </w:tc>
              <w:tc>
                <w:tcPr>
                  <w:tcW w:w="607" w:type="pct"/>
                  <w:gridSpan w:val="3"/>
                </w:tcPr>
                <w:p w14:paraId="096D514C" w14:textId="77777777" w:rsidR="00DD3F5D" w:rsidRPr="006362A9" w:rsidRDefault="00DD3F5D" w:rsidP="00055DB8">
                  <w:pPr>
                    <w:pStyle w:val="TableBodyText"/>
                    <w:jc w:val="center"/>
                  </w:pPr>
                  <w:r w:rsidRPr="006362A9">
                    <w:t>Continuous</w:t>
                  </w:r>
                </w:p>
              </w:tc>
              <w:tc>
                <w:tcPr>
                  <w:tcW w:w="608" w:type="pct"/>
                  <w:gridSpan w:val="3"/>
                  <w:shd w:val="clear" w:color="auto" w:fill="auto"/>
                </w:tcPr>
                <w:p w14:paraId="41D4783F" w14:textId="23E29175" w:rsidR="00DD3F5D" w:rsidRPr="006362A9" w:rsidRDefault="00DD3F5D" w:rsidP="00055DB8">
                  <w:pPr>
                    <w:pStyle w:val="TableBodyText"/>
                    <w:jc w:val="center"/>
                  </w:pPr>
                  <w:r w:rsidRPr="006362A9">
                    <w:t>CHO</w:t>
                  </w:r>
                  <w:r w:rsidR="0033402F">
                    <w:t>–</w:t>
                  </w:r>
                  <w:r w:rsidRPr="006362A9">
                    <w:t>policy   based</w:t>
                  </w:r>
                </w:p>
              </w:tc>
              <w:tc>
                <w:tcPr>
                  <w:tcW w:w="608" w:type="pct"/>
                  <w:gridSpan w:val="3"/>
                  <w:shd w:val="clear" w:color="auto" w:fill="auto"/>
                </w:tcPr>
                <w:p w14:paraId="0F15E61A" w14:textId="5F6768F5" w:rsidR="00DD3F5D" w:rsidRPr="006362A9" w:rsidRDefault="00DD3F5D" w:rsidP="00055DB8">
                  <w:pPr>
                    <w:pStyle w:val="TableBodyText"/>
                    <w:ind w:right="28"/>
                    <w:jc w:val="center"/>
                  </w:pPr>
                  <w:r w:rsidRPr="006362A9">
                    <w:t>Duration of need</w:t>
                  </w:r>
                  <w:r w:rsidR="007A1E7A">
                    <w:t>–</w:t>
                  </w:r>
                  <w:r w:rsidRPr="006362A9">
                    <w:t>policy based</w:t>
                  </w:r>
                </w:p>
              </w:tc>
              <w:tc>
                <w:tcPr>
                  <w:tcW w:w="608" w:type="pct"/>
                  <w:gridSpan w:val="4"/>
                </w:tcPr>
                <w:p w14:paraId="5629256C" w14:textId="77777777" w:rsidR="00DD3F5D" w:rsidRPr="006362A9" w:rsidRDefault="00DD3F5D" w:rsidP="00055DB8">
                  <w:pPr>
                    <w:pStyle w:val="TableBodyText"/>
                    <w:ind w:right="28"/>
                    <w:jc w:val="center"/>
                  </w:pPr>
                  <w:r w:rsidRPr="006362A9">
                    <w:t>3 and 6 months</w:t>
                  </w:r>
                </w:p>
              </w:tc>
              <w:tc>
                <w:tcPr>
                  <w:tcW w:w="608" w:type="pct"/>
                  <w:gridSpan w:val="4"/>
                </w:tcPr>
                <w:p w14:paraId="038D7FFF" w14:textId="77777777" w:rsidR="00DD3F5D" w:rsidRPr="006362A9" w:rsidRDefault="00DD3F5D" w:rsidP="00055DB8">
                  <w:pPr>
                    <w:pStyle w:val="TableBodyText"/>
                    <w:ind w:right="28"/>
                    <w:jc w:val="center"/>
                  </w:pPr>
                  <w:r w:rsidRPr="006362A9">
                    <w:t>Up to 10 years</w:t>
                  </w:r>
                </w:p>
              </w:tc>
              <w:tc>
                <w:tcPr>
                  <w:tcW w:w="609" w:type="pct"/>
                  <w:gridSpan w:val="4"/>
                </w:tcPr>
                <w:p w14:paraId="6674125B" w14:textId="77777777" w:rsidR="00DD3F5D" w:rsidRPr="006362A9" w:rsidRDefault="00DD3F5D" w:rsidP="00055DB8">
                  <w:pPr>
                    <w:pStyle w:val="TableBodyText"/>
                    <w:ind w:right="28"/>
                    <w:jc w:val="center"/>
                  </w:pPr>
                  <w:r w:rsidRPr="006362A9">
                    <w:t>Varies by CHO</w:t>
                  </w:r>
                </w:p>
              </w:tc>
              <w:tc>
                <w:tcPr>
                  <w:tcW w:w="612" w:type="pct"/>
                  <w:gridSpan w:val="3"/>
                </w:tcPr>
                <w:p w14:paraId="0DF11A28" w14:textId="77777777" w:rsidR="00DD3F5D" w:rsidRPr="006362A9" w:rsidRDefault="00DD3F5D" w:rsidP="00055DB8">
                  <w:pPr>
                    <w:pStyle w:val="TableBodyText"/>
                    <w:ind w:right="28"/>
                    <w:jc w:val="center"/>
                  </w:pPr>
                  <w:r w:rsidRPr="006362A9">
                    <w:t>None</w:t>
                  </w:r>
                </w:p>
              </w:tc>
              <w:tc>
                <w:tcPr>
                  <w:tcW w:w="256" w:type="pct"/>
                </w:tcPr>
                <w:p w14:paraId="758535FD" w14:textId="77777777" w:rsidR="00DD3F5D" w:rsidRPr="006362A9" w:rsidRDefault="00DD3F5D" w:rsidP="00055DB8">
                  <w:pPr>
                    <w:pStyle w:val="TableBodyText"/>
                    <w:ind w:right="28"/>
                    <w:jc w:val="center"/>
                  </w:pPr>
                  <w:r w:rsidRPr="006362A9">
                    <w:t>na</w:t>
                  </w:r>
                </w:p>
              </w:tc>
            </w:tr>
            <w:tr w:rsidR="00DC0DFC" w:rsidRPr="00DC0DFC" w14:paraId="0A9DFEE3" w14:textId="77777777" w:rsidTr="4E7DCBFD">
              <w:tc>
                <w:tcPr>
                  <w:tcW w:w="484" w:type="pct"/>
                  <w:shd w:val="clear" w:color="auto" w:fill="auto"/>
                </w:tcPr>
                <w:p w14:paraId="3074925B" w14:textId="77777777" w:rsidR="00DD3F5D" w:rsidRPr="00DC0DFC" w:rsidRDefault="00DD3F5D" w:rsidP="00055DB8">
                  <w:pPr>
                    <w:pStyle w:val="TableBodyText"/>
                    <w:jc w:val="left"/>
                  </w:pPr>
                  <w:r w:rsidRPr="00DC0DFC">
                    <w:t>Ongoing</w:t>
                  </w:r>
                </w:p>
              </w:tc>
              <w:tc>
                <w:tcPr>
                  <w:tcW w:w="607" w:type="pct"/>
                  <w:gridSpan w:val="3"/>
                </w:tcPr>
                <w:p w14:paraId="031F700C" w14:textId="77777777" w:rsidR="00DD3F5D" w:rsidRPr="006362A9" w:rsidRDefault="00DD3F5D" w:rsidP="00055DB8">
                  <w:pPr>
                    <w:pStyle w:val="TableBodyText"/>
                    <w:jc w:val="center"/>
                  </w:pPr>
                  <w:r w:rsidRPr="006362A9">
                    <w:t>Yes</w:t>
                  </w:r>
                </w:p>
              </w:tc>
              <w:tc>
                <w:tcPr>
                  <w:tcW w:w="608" w:type="pct"/>
                  <w:gridSpan w:val="3"/>
                  <w:shd w:val="clear" w:color="auto" w:fill="auto"/>
                </w:tcPr>
                <w:p w14:paraId="681A3EAB" w14:textId="13C3CCA4" w:rsidR="00DD3F5D" w:rsidRPr="006362A9" w:rsidRDefault="00DD3F5D" w:rsidP="00055DB8">
                  <w:pPr>
                    <w:pStyle w:val="TableBodyText"/>
                    <w:jc w:val="center"/>
                  </w:pPr>
                  <w:r w:rsidRPr="006362A9">
                    <w:t>CHO</w:t>
                  </w:r>
                  <w:r w:rsidR="0033402F">
                    <w:t>–</w:t>
                  </w:r>
                  <w:r w:rsidRPr="006362A9">
                    <w:t>policy   based</w:t>
                  </w:r>
                </w:p>
              </w:tc>
              <w:tc>
                <w:tcPr>
                  <w:tcW w:w="608" w:type="pct"/>
                  <w:gridSpan w:val="3"/>
                  <w:shd w:val="clear" w:color="auto" w:fill="auto"/>
                </w:tcPr>
                <w:p w14:paraId="51E31CCF" w14:textId="77777777" w:rsidR="00DD3F5D" w:rsidRPr="006362A9" w:rsidRDefault="00DD3F5D" w:rsidP="00055DB8">
                  <w:pPr>
                    <w:pStyle w:val="TableBodyText"/>
                    <w:ind w:right="28"/>
                    <w:jc w:val="center"/>
                  </w:pPr>
                  <w:r w:rsidRPr="006362A9">
                    <w:t>Subject to review</w:t>
                  </w:r>
                </w:p>
              </w:tc>
              <w:tc>
                <w:tcPr>
                  <w:tcW w:w="608" w:type="pct"/>
                  <w:gridSpan w:val="4"/>
                </w:tcPr>
                <w:p w14:paraId="10D51741" w14:textId="77777777" w:rsidR="00DD3F5D" w:rsidRPr="006362A9" w:rsidRDefault="00DD3F5D" w:rsidP="00055DB8">
                  <w:pPr>
                    <w:pStyle w:val="TableBodyText"/>
                    <w:ind w:right="28"/>
                    <w:jc w:val="center"/>
                  </w:pPr>
                  <w:r w:rsidRPr="006362A9">
                    <w:t>Ongoing</w:t>
                  </w:r>
                </w:p>
              </w:tc>
              <w:tc>
                <w:tcPr>
                  <w:tcW w:w="608" w:type="pct"/>
                  <w:gridSpan w:val="4"/>
                </w:tcPr>
                <w:p w14:paraId="59E9DB39" w14:textId="77777777" w:rsidR="00DD3F5D" w:rsidRPr="006362A9" w:rsidRDefault="00DD3F5D" w:rsidP="00055DB8">
                  <w:pPr>
                    <w:pStyle w:val="TableBodyText"/>
                    <w:ind w:right="28"/>
                    <w:jc w:val="center"/>
                  </w:pPr>
                  <w:r w:rsidRPr="006362A9">
                    <w:t>Tenants housed before 1 October 2010</w:t>
                  </w:r>
                </w:p>
              </w:tc>
              <w:tc>
                <w:tcPr>
                  <w:tcW w:w="609" w:type="pct"/>
                  <w:gridSpan w:val="4"/>
                </w:tcPr>
                <w:p w14:paraId="7B8C05E6" w14:textId="77777777" w:rsidR="00DD3F5D" w:rsidRPr="006362A9" w:rsidRDefault="00DD3F5D" w:rsidP="00055DB8">
                  <w:pPr>
                    <w:pStyle w:val="TableBodyText"/>
                    <w:ind w:right="28"/>
                    <w:jc w:val="center"/>
                  </w:pPr>
                  <w:r w:rsidRPr="006362A9">
                    <w:t>Varies by CHO</w:t>
                  </w:r>
                </w:p>
              </w:tc>
              <w:tc>
                <w:tcPr>
                  <w:tcW w:w="612" w:type="pct"/>
                  <w:gridSpan w:val="3"/>
                </w:tcPr>
                <w:p w14:paraId="45CB53D9" w14:textId="77777777" w:rsidR="00DD3F5D" w:rsidRPr="006362A9" w:rsidRDefault="00DD3F5D" w:rsidP="00055DB8">
                  <w:pPr>
                    <w:pStyle w:val="TableBodyText"/>
                    <w:ind w:right="28"/>
                    <w:jc w:val="center"/>
                  </w:pPr>
                  <w:r w:rsidRPr="006362A9">
                    <w:t>Yes</w:t>
                  </w:r>
                </w:p>
              </w:tc>
              <w:tc>
                <w:tcPr>
                  <w:tcW w:w="256" w:type="pct"/>
                </w:tcPr>
                <w:p w14:paraId="245C7916" w14:textId="77777777" w:rsidR="00DD3F5D" w:rsidRPr="006362A9" w:rsidRDefault="00DD3F5D" w:rsidP="00055DB8">
                  <w:pPr>
                    <w:pStyle w:val="TableBodyText"/>
                    <w:ind w:right="28"/>
                    <w:jc w:val="center"/>
                  </w:pPr>
                  <w:r w:rsidRPr="006362A9">
                    <w:t>na</w:t>
                  </w:r>
                </w:p>
              </w:tc>
            </w:tr>
            <w:tr w:rsidR="00DC0DFC" w:rsidRPr="00DC0DFC" w14:paraId="68AF1B93" w14:textId="77777777" w:rsidTr="4E7DCBFD">
              <w:tc>
                <w:tcPr>
                  <w:tcW w:w="484" w:type="pct"/>
                  <w:shd w:val="clear" w:color="auto" w:fill="auto"/>
                </w:tcPr>
                <w:p w14:paraId="6A47FF49" w14:textId="77777777" w:rsidR="00DD3F5D" w:rsidRPr="00DC0DFC" w:rsidRDefault="00DD3F5D" w:rsidP="00055DB8">
                  <w:pPr>
                    <w:pStyle w:val="TableBodyText"/>
                    <w:jc w:val="left"/>
                  </w:pPr>
                  <w:r w:rsidRPr="00DC0DFC">
                    <w:t>Tenancy review</w:t>
                  </w:r>
                  <w:r w:rsidRPr="00DC0DFC">
                    <w:tab/>
                  </w:r>
                  <w:r w:rsidRPr="00DC0DFC">
                    <w:tab/>
                  </w:r>
                  <w:r w:rsidRPr="00DC0DFC">
                    <w:tab/>
                  </w:r>
                </w:p>
              </w:tc>
              <w:tc>
                <w:tcPr>
                  <w:tcW w:w="607" w:type="pct"/>
                  <w:gridSpan w:val="3"/>
                </w:tcPr>
                <w:p w14:paraId="671995E5" w14:textId="77777777" w:rsidR="00DD3F5D" w:rsidRPr="006362A9" w:rsidRDefault="00DD3F5D" w:rsidP="00055DB8">
                  <w:pPr>
                    <w:pStyle w:val="TableBodyText"/>
                    <w:jc w:val="center"/>
                  </w:pPr>
                  <w:r w:rsidRPr="006362A9">
                    <w:t>No</w:t>
                  </w:r>
                </w:p>
              </w:tc>
              <w:tc>
                <w:tcPr>
                  <w:tcW w:w="608" w:type="pct"/>
                  <w:gridSpan w:val="3"/>
                  <w:shd w:val="clear" w:color="auto" w:fill="auto"/>
                </w:tcPr>
                <w:p w14:paraId="5B984E21" w14:textId="495DA085" w:rsidR="00DD3F5D" w:rsidRPr="006362A9" w:rsidRDefault="00DD3F5D" w:rsidP="00055DB8">
                  <w:pPr>
                    <w:pStyle w:val="TableBodyText"/>
                    <w:jc w:val="center"/>
                  </w:pPr>
                  <w:r w:rsidRPr="006362A9">
                    <w:t>CHO</w:t>
                  </w:r>
                  <w:r w:rsidR="0033402F">
                    <w:t>–</w:t>
                  </w:r>
                  <w:r w:rsidRPr="006362A9">
                    <w:t>policy   based</w:t>
                  </w:r>
                </w:p>
              </w:tc>
              <w:tc>
                <w:tcPr>
                  <w:tcW w:w="608" w:type="pct"/>
                  <w:gridSpan w:val="3"/>
                  <w:shd w:val="clear" w:color="auto" w:fill="auto"/>
                </w:tcPr>
                <w:p w14:paraId="7CFA1CF4" w14:textId="2BE38377" w:rsidR="00DD3F5D" w:rsidRPr="006362A9" w:rsidRDefault="00DD3F5D" w:rsidP="00055DB8">
                  <w:pPr>
                    <w:pStyle w:val="TableBodyText"/>
                    <w:ind w:right="28"/>
                    <w:jc w:val="center"/>
                  </w:pPr>
                  <w:r w:rsidRPr="006362A9">
                    <w:t>Based on ongoing need</w:t>
                  </w:r>
                  <w:r w:rsidR="00806CC5" w:rsidRPr="006362A9">
                    <w:t xml:space="preserve"> </w:t>
                  </w:r>
                  <w:r w:rsidR="00D13324" w:rsidRPr="006362A9">
                    <w:t>and eligibility</w:t>
                  </w:r>
                </w:p>
              </w:tc>
              <w:tc>
                <w:tcPr>
                  <w:tcW w:w="608" w:type="pct"/>
                  <w:gridSpan w:val="4"/>
                </w:tcPr>
                <w:p w14:paraId="2235BC19" w14:textId="77777777" w:rsidR="00DD3F5D" w:rsidRPr="006362A9" w:rsidRDefault="00DD3F5D" w:rsidP="00055DB8">
                  <w:pPr>
                    <w:pStyle w:val="TableBodyText"/>
                    <w:ind w:right="28"/>
                    <w:jc w:val="center"/>
                  </w:pPr>
                  <w:r w:rsidRPr="006362A9">
                    <w:t>Annually and at end fixed term agreements</w:t>
                  </w:r>
                </w:p>
              </w:tc>
              <w:tc>
                <w:tcPr>
                  <w:tcW w:w="608" w:type="pct"/>
                  <w:gridSpan w:val="4"/>
                </w:tcPr>
                <w:p w14:paraId="027DBD83" w14:textId="77777777" w:rsidR="00DD3F5D" w:rsidRPr="006362A9" w:rsidRDefault="00DD3F5D" w:rsidP="00055DB8">
                  <w:pPr>
                    <w:pStyle w:val="TableBodyText"/>
                    <w:ind w:right="28"/>
                    <w:jc w:val="center"/>
                  </w:pPr>
                  <w:r w:rsidRPr="006362A9">
                    <w:t>Prior to end of lease for probationary / fixed term tenancies</w:t>
                  </w:r>
                </w:p>
              </w:tc>
              <w:tc>
                <w:tcPr>
                  <w:tcW w:w="609" w:type="pct"/>
                  <w:gridSpan w:val="4"/>
                </w:tcPr>
                <w:p w14:paraId="2CDC076F" w14:textId="77777777" w:rsidR="00DD3F5D" w:rsidRPr="006362A9" w:rsidRDefault="00DD3F5D" w:rsidP="00055DB8">
                  <w:pPr>
                    <w:pStyle w:val="TableBodyText"/>
                    <w:ind w:right="28"/>
                    <w:jc w:val="center"/>
                  </w:pPr>
                  <w:r w:rsidRPr="006362A9">
                    <w:t>Varies by CHO</w:t>
                  </w:r>
                </w:p>
              </w:tc>
              <w:tc>
                <w:tcPr>
                  <w:tcW w:w="612" w:type="pct"/>
                  <w:gridSpan w:val="3"/>
                </w:tcPr>
                <w:p w14:paraId="1015F3B0" w14:textId="77777777" w:rsidR="00DD3F5D" w:rsidRPr="006362A9" w:rsidRDefault="00DD3F5D" w:rsidP="00055DB8">
                  <w:pPr>
                    <w:pStyle w:val="TableBodyText"/>
                    <w:ind w:right="28"/>
                    <w:jc w:val="center"/>
                  </w:pPr>
                  <w:r w:rsidRPr="006362A9">
                    <w:t>None</w:t>
                  </w:r>
                </w:p>
              </w:tc>
              <w:tc>
                <w:tcPr>
                  <w:tcW w:w="256" w:type="pct"/>
                </w:tcPr>
                <w:p w14:paraId="3532608F" w14:textId="77777777" w:rsidR="00DD3F5D" w:rsidRPr="006362A9" w:rsidRDefault="00DD3F5D" w:rsidP="00055DB8">
                  <w:pPr>
                    <w:pStyle w:val="TableBodyText"/>
                    <w:ind w:right="28"/>
                    <w:jc w:val="center"/>
                  </w:pPr>
                  <w:r w:rsidRPr="006362A9">
                    <w:t>na</w:t>
                  </w:r>
                </w:p>
              </w:tc>
            </w:tr>
            <w:tr w:rsidR="00DC0DFC" w:rsidRPr="00DC0DFC" w14:paraId="719AAC82" w14:textId="77777777" w:rsidTr="4E7DCBFD">
              <w:tc>
                <w:tcPr>
                  <w:tcW w:w="2066" w:type="pct"/>
                  <w:gridSpan w:val="9"/>
                  <w:shd w:val="clear" w:color="auto" w:fill="auto"/>
                </w:tcPr>
                <w:p w14:paraId="20C1B723" w14:textId="5531B096" w:rsidR="00DD3F5D" w:rsidRPr="006362A9" w:rsidRDefault="29055451" w:rsidP="00055DB8">
                  <w:pPr>
                    <w:pStyle w:val="TableBodyText"/>
                    <w:ind w:right="28"/>
                    <w:jc w:val="left"/>
                  </w:pPr>
                  <w:r w:rsidRPr="006362A9">
                    <w:rPr>
                      <w:b/>
                      <w:bCs/>
                    </w:rPr>
                    <w:t>Rebated rent setting: r</w:t>
                  </w:r>
                  <w:r w:rsidRPr="006362A9">
                    <w:t>ent</w:t>
                  </w:r>
                  <w:r w:rsidR="37DE0AE0" w:rsidRPr="006362A9">
                    <w:t xml:space="preserve"> </w:t>
                  </w:r>
                  <w:r w:rsidRPr="006362A9">
                    <w:t>to</w:t>
                  </w:r>
                  <w:r w:rsidR="369CD9A7" w:rsidRPr="006362A9">
                    <w:t xml:space="preserve"> </w:t>
                  </w:r>
                  <w:r w:rsidRPr="006362A9">
                    <w:t>income ratio (%)</w:t>
                  </w:r>
                </w:p>
              </w:tc>
              <w:tc>
                <w:tcPr>
                  <w:tcW w:w="587" w:type="pct"/>
                  <w:gridSpan w:val="4"/>
                </w:tcPr>
                <w:p w14:paraId="429B804C" w14:textId="77777777" w:rsidR="00DD3F5D" w:rsidRPr="006362A9" w:rsidRDefault="00DD3F5D" w:rsidP="00055DB8">
                  <w:pPr>
                    <w:pStyle w:val="TableBodyText"/>
                    <w:ind w:right="28"/>
                    <w:jc w:val="center"/>
                  </w:pPr>
                </w:p>
              </w:tc>
              <w:tc>
                <w:tcPr>
                  <w:tcW w:w="588" w:type="pct"/>
                  <w:gridSpan w:val="4"/>
                </w:tcPr>
                <w:p w14:paraId="6295C17E" w14:textId="77777777" w:rsidR="00DD3F5D" w:rsidRPr="006362A9" w:rsidRDefault="00DD3F5D" w:rsidP="00055DB8">
                  <w:pPr>
                    <w:pStyle w:val="TableBodyText"/>
                    <w:ind w:right="28"/>
                    <w:jc w:val="center"/>
                  </w:pPr>
                </w:p>
              </w:tc>
              <w:tc>
                <w:tcPr>
                  <w:tcW w:w="588" w:type="pct"/>
                  <w:gridSpan w:val="4"/>
                </w:tcPr>
                <w:p w14:paraId="262CEF78" w14:textId="77777777" w:rsidR="00DD3F5D" w:rsidRPr="006362A9" w:rsidRDefault="00DD3F5D" w:rsidP="00055DB8">
                  <w:pPr>
                    <w:pStyle w:val="TableBodyText"/>
                    <w:ind w:right="28"/>
                    <w:jc w:val="center"/>
                  </w:pPr>
                </w:p>
              </w:tc>
              <w:tc>
                <w:tcPr>
                  <w:tcW w:w="915" w:type="pct"/>
                  <w:gridSpan w:val="4"/>
                </w:tcPr>
                <w:p w14:paraId="24EB8944" w14:textId="77777777" w:rsidR="00DD3F5D" w:rsidRPr="006362A9" w:rsidRDefault="00DD3F5D" w:rsidP="00055DB8">
                  <w:pPr>
                    <w:pStyle w:val="TableBodyText"/>
                    <w:ind w:right="28"/>
                    <w:jc w:val="center"/>
                  </w:pPr>
                </w:p>
              </w:tc>
              <w:tc>
                <w:tcPr>
                  <w:tcW w:w="256" w:type="pct"/>
                </w:tcPr>
                <w:p w14:paraId="7AFDB1CB" w14:textId="77777777" w:rsidR="00DD3F5D" w:rsidRPr="006362A9" w:rsidRDefault="00DD3F5D" w:rsidP="00055DB8">
                  <w:pPr>
                    <w:pStyle w:val="TableBodyText"/>
                    <w:ind w:right="28"/>
                    <w:jc w:val="center"/>
                  </w:pPr>
                </w:p>
              </w:tc>
            </w:tr>
            <w:tr w:rsidR="00DC0DFC" w:rsidRPr="00DC0DFC" w14:paraId="28DCCAC3" w14:textId="77777777" w:rsidTr="00A56871">
              <w:tc>
                <w:tcPr>
                  <w:tcW w:w="484" w:type="pct"/>
                  <w:shd w:val="clear" w:color="auto" w:fill="auto"/>
                </w:tcPr>
                <w:p w14:paraId="55D8E97E" w14:textId="77777777" w:rsidR="00DD3F5D" w:rsidRPr="00DC0DFC" w:rsidRDefault="00DD3F5D" w:rsidP="00055DB8">
                  <w:pPr>
                    <w:pStyle w:val="TableBodyText"/>
                    <w:jc w:val="left"/>
                  </w:pPr>
                </w:p>
              </w:tc>
              <w:tc>
                <w:tcPr>
                  <w:tcW w:w="608" w:type="pct"/>
                  <w:gridSpan w:val="3"/>
                </w:tcPr>
                <w:p w14:paraId="7D8260C2" w14:textId="2E5A3980" w:rsidR="00DD3F5D" w:rsidRPr="006362A9" w:rsidRDefault="00DD3F5D" w:rsidP="00055DB8">
                  <w:pPr>
                    <w:pStyle w:val="TableBodyText"/>
                    <w:jc w:val="center"/>
                  </w:pPr>
                  <w:r w:rsidRPr="006362A9">
                    <w:t>25</w:t>
                  </w:r>
                  <w:r w:rsidR="002D205C">
                    <w:t>–</w:t>
                  </w:r>
                  <w:r w:rsidRPr="006362A9">
                    <w:t xml:space="preserve">30 </w:t>
                  </w:r>
                </w:p>
              </w:tc>
              <w:tc>
                <w:tcPr>
                  <w:tcW w:w="609" w:type="pct"/>
                  <w:gridSpan w:val="3"/>
                  <w:shd w:val="clear" w:color="auto" w:fill="auto"/>
                </w:tcPr>
                <w:p w14:paraId="0DC6F874" w14:textId="6F7E9EFB" w:rsidR="00DD3F5D" w:rsidRPr="006362A9" w:rsidRDefault="00DD3F5D" w:rsidP="00055DB8">
                  <w:pPr>
                    <w:pStyle w:val="TableBodyText"/>
                    <w:tabs>
                      <w:tab w:val="left" w:pos="315"/>
                      <w:tab w:val="center" w:pos="728"/>
                    </w:tabs>
                    <w:jc w:val="center"/>
                  </w:pPr>
                  <w:r w:rsidRPr="006362A9">
                    <w:t>&lt; = 30 (CHO</w:t>
                  </w:r>
                  <w:r w:rsidR="0033402F">
                    <w:t>–</w:t>
                  </w:r>
                  <w:r w:rsidRPr="006362A9">
                    <w:t>policy based)</w:t>
                  </w:r>
                </w:p>
              </w:tc>
              <w:tc>
                <w:tcPr>
                  <w:tcW w:w="609" w:type="pct"/>
                  <w:gridSpan w:val="4"/>
                  <w:shd w:val="clear" w:color="auto" w:fill="auto"/>
                </w:tcPr>
                <w:p w14:paraId="253624ED" w14:textId="77777777" w:rsidR="00DD3F5D" w:rsidRPr="006362A9" w:rsidRDefault="00DD3F5D" w:rsidP="00055DB8">
                  <w:pPr>
                    <w:pStyle w:val="TableBodyText"/>
                    <w:ind w:right="28"/>
                    <w:jc w:val="center"/>
                  </w:pPr>
                  <w:r w:rsidRPr="006362A9">
                    <w:t>25</w:t>
                  </w:r>
                </w:p>
              </w:tc>
              <w:tc>
                <w:tcPr>
                  <w:tcW w:w="609" w:type="pct"/>
                  <w:gridSpan w:val="4"/>
                </w:tcPr>
                <w:p w14:paraId="29336713" w14:textId="77777777" w:rsidR="00DD3F5D" w:rsidRPr="006362A9" w:rsidRDefault="00DD3F5D" w:rsidP="00055DB8">
                  <w:pPr>
                    <w:pStyle w:val="TableBodyText"/>
                    <w:ind w:right="28"/>
                    <w:jc w:val="center"/>
                  </w:pPr>
                  <w:r w:rsidRPr="006362A9">
                    <w:t>25</w:t>
                  </w:r>
                </w:p>
              </w:tc>
              <w:tc>
                <w:tcPr>
                  <w:tcW w:w="609" w:type="pct"/>
                  <w:gridSpan w:val="4"/>
                </w:tcPr>
                <w:p w14:paraId="3406089D" w14:textId="77777777" w:rsidR="00DD3F5D" w:rsidRPr="006362A9" w:rsidRDefault="00DD3F5D" w:rsidP="00055DB8">
                  <w:pPr>
                    <w:pStyle w:val="TableBodyText"/>
                    <w:ind w:right="28"/>
                    <w:jc w:val="center"/>
                  </w:pPr>
                  <w:r w:rsidRPr="006362A9">
                    <w:t>25</w:t>
                  </w:r>
                </w:p>
              </w:tc>
              <w:tc>
                <w:tcPr>
                  <w:tcW w:w="609" w:type="pct"/>
                  <w:gridSpan w:val="4"/>
                  <w:shd w:val="clear" w:color="auto" w:fill="auto"/>
                </w:tcPr>
                <w:p w14:paraId="6685382A" w14:textId="69E7584D" w:rsidR="00DD3F5D" w:rsidRPr="006362A9" w:rsidRDefault="006B34B0" w:rsidP="00055DB8">
                  <w:pPr>
                    <w:pStyle w:val="TableBodyText"/>
                    <w:ind w:right="28"/>
                    <w:jc w:val="center"/>
                  </w:pPr>
                  <w:r>
                    <w:t>25</w:t>
                  </w:r>
                </w:p>
              </w:tc>
              <w:tc>
                <w:tcPr>
                  <w:tcW w:w="609" w:type="pct"/>
                  <w:gridSpan w:val="2"/>
                </w:tcPr>
                <w:p w14:paraId="1FC887E4" w14:textId="77777777" w:rsidR="00DD3F5D" w:rsidRPr="006362A9" w:rsidRDefault="00DD3F5D" w:rsidP="00055DB8">
                  <w:pPr>
                    <w:pStyle w:val="TableBodyText"/>
                    <w:ind w:right="28"/>
                    <w:jc w:val="center"/>
                  </w:pPr>
                  <w:r w:rsidRPr="006362A9">
                    <w:t>25</w:t>
                  </w:r>
                </w:p>
              </w:tc>
              <w:tc>
                <w:tcPr>
                  <w:tcW w:w="256" w:type="pct"/>
                </w:tcPr>
                <w:p w14:paraId="6B11E721" w14:textId="77777777" w:rsidR="00DD3F5D" w:rsidRPr="006362A9" w:rsidRDefault="00DD3F5D" w:rsidP="00055DB8">
                  <w:pPr>
                    <w:pStyle w:val="TableBodyText"/>
                    <w:ind w:right="28"/>
                    <w:jc w:val="center"/>
                  </w:pPr>
                  <w:r w:rsidRPr="006362A9">
                    <w:t>na</w:t>
                  </w:r>
                </w:p>
              </w:tc>
            </w:tr>
            <w:tr w:rsidR="00DC0DFC" w:rsidRPr="00DC0DFC" w14:paraId="3907EA45" w14:textId="77777777" w:rsidTr="00A56871">
              <w:trPr>
                <w:trHeight w:val="284"/>
              </w:trPr>
              <w:tc>
                <w:tcPr>
                  <w:tcW w:w="484" w:type="pct"/>
                  <w:tcBorders>
                    <w:bottom w:val="single" w:sz="6" w:space="0" w:color="BFBFBF" w:themeColor="background1" w:themeShade="BF"/>
                  </w:tcBorders>
                  <w:shd w:val="clear" w:color="auto" w:fill="auto"/>
                </w:tcPr>
                <w:p w14:paraId="395B525D" w14:textId="77777777" w:rsidR="00DD3F5D" w:rsidRPr="00DC0DFC" w:rsidRDefault="00DD3F5D" w:rsidP="00055DB8">
                  <w:pPr>
                    <w:pStyle w:val="TableBodyText"/>
                    <w:jc w:val="left"/>
                  </w:pPr>
                </w:p>
              </w:tc>
              <w:tc>
                <w:tcPr>
                  <w:tcW w:w="408" w:type="pct"/>
                  <w:gridSpan w:val="2"/>
                  <w:tcBorders>
                    <w:bottom w:val="single" w:sz="6" w:space="0" w:color="BFBFBF" w:themeColor="background1" w:themeShade="BF"/>
                  </w:tcBorders>
                </w:tcPr>
                <w:p w14:paraId="7F73841C" w14:textId="77777777" w:rsidR="00DD3F5D" w:rsidRPr="006362A9" w:rsidRDefault="00DD3F5D" w:rsidP="00055DB8">
                  <w:pPr>
                    <w:pStyle w:val="TableBodyText"/>
                    <w:jc w:val="center"/>
                  </w:pPr>
                </w:p>
              </w:tc>
              <w:tc>
                <w:tcPr>
                  <w:tcW w:w="587" w:type="pct"/>
                  <w:gridSpan w:val="3"/>
                  <w:tcBorders>
                    <w:bottom w:val="single" w:sz="6" w:space="0" w:color="BFBFBF" w:themeColor="background1" w:themeShade="BF"/>
                  </w:tcBorders>
                  <w:shd w:val="clear" w:color="auto" w:fill="auto"/>
                </w:tcPr>
                <w:p w14:paraId="0DA02D92" w14:textId="77777777" w:rsidR="00DD3F5D" w:rsidRPr="006362A9" w:rsidRDefault="00DD3F5D" w:rsidP="00055DB8">
                  <w:pPr>
                    <w:pStyle w:val="TableBodyText"/>
                    <w:jc w:val="center"/>
                  </w:pPr>
                </w:p>
              </w:tc>
              <w:tc>
                <w:tcPr>
                  <w:tcW w:w="588" w:type="pct"/>
                  <w:gridSpan w:val="3"/>
                  <w:tcBorders>
                    <w:bottom w:val="single" w:sz="6" w:space="0" w:color="BFBFBF" w:themeColor="background1" w:themeShade="BF"/>
                  </w:tcBorders>
                  <w:shd w:val="clear" w:color="auto" w:fill="auto"/>
                </w:tcPr>
                <w:p w14:paraId="5500F635" w14:textId="77777777" w:rsidR="00DD3F5D" w:rsidRPr="006362A9" w:rsidRDefault="00DD3F5D" w:rsidP="00055DB8">
                  <w:pPr>
                    <w:pStyle w:val="TableBodyText"/>
                    <w:ind w:right="28"/>
                    <w:jc w:val="center"/>
                  </w:pPr>
                </w:p>
              </w:tc>
              <w:tc>
                <w:tcPr>
                  <w:tcW w:w="587" w:type="pct"/>
                  <w:gridSpan w:val="4"/>
                  <w:tcBorders>
                    <w:bottom w:val="single" w:sz="6" w:space="0" w:color="BFBFBF" w:themeColor="background1" w:themeShade="BF"/>
                  </w:tcBorders>
                </w:tcPr>
                <w:p w14:paraId="20F223A0" w14:textId="77777777" w:rsidR="00DD3F5D" w:rsidRPr="006362A9" w:rsidRDefault="00DD3F5D" w:rsidP="00055DB8">
                  <w:pPr>
                    <w:pStyle w:val="TableBodyText"/>
                    <w:ind w:right="28"/>
                    <w:jc w:val="center"/>
                  </w:pPr>
                </w:p>
              </w:tc>
              <w:tc>
                <w:tcPr>
                  <w:tcW w:w="588" w:type="pct"/>
                  <w:gridSpan w:val="4"/>
                  <w:tcBorders>
                    <w:bottom w:val="single" w:sz="6" w:space="0" w:color="BFBFBF" w:themeColor="background1" w:themeShade="BF"/>
                  </w:tcBorders>
                </w:tcPr>
                <w:p w14:paraId="044D78D6" w14:textId="77777777" w:rsidR="00DD3F5D" w:rsidRPr="006362A9" w:rsidRDefault="00DD3F5D" w:rsidP="00055DB8">
                  <w:pPr>
                    <w:pStyle w:val="TableBodyText"/>
                    <w:ind w:right="28"/>
                    <w:jc w:val="center"/>
                  </w:pPr>
                </w:p>
              </w:tc>
              <w:tc>
                <w:tcPr>
                  <w:tcW w:w="1759" w:type="pct"/>
                  <w:gridSpan w:val="9"/>
                  <w:tcBorders>
                    <w:bottom w:val="single" w:sz="6" w:space="0" w:color="BFBFBF" w:themeColor="background1" w:themeShade="BF"/>
                  </w:tcBorders>
                </w:tcPr>
                <w:p w14:paraId="2B2156B3" w14:textId="77777777" w:rsidR="00DD3F5D" w:rsidRPr="006362A9" w:rsidRDefault="00DD3F5D" w:rsidP="00055DB8">
                  <w:pPr>
                    <w:pStyle w:val="TableBodyText"/>
                    <w:spacing w:before="80"/>
                    <w:ind w:right="28"/>
                  </w:pPr>
                  <w:r w:rsidRPr="006362A9">
                    <w:rPr>
                      <w:szCs w:val="18"/>
                    </w:rPr>
                    <w:t>(continued next page)</w:t>
                  </w:r>
                </w:p>
              </w:tc>
            </w:tr>
          </w:tbl>
          <w:p w14:paraId="7FB3195A" w14:textId="77777777" w:rsidR="00DD3F5D" w:rsidRPr="00DC0DFC" w:rsidRDefault="00DD3F5D" w:rsidP="00055DB8">
            <w:pPr>
              <w:pStyle w:val="Box"/>
              <w:jc w:val="right"/>
              <w:rPr>
                <w:sz w:val="18"/>
                <w:szCs w:val="18"/>
              </w:rPr>
            </w:pPr>
          </w:p>
        </w:tc>
      </w:tr>
      <w:tr w:rsidR="00DD3F5D" w14:paraId="450684DC" w14:textId="77777777" w:rsidTr="4E7DCBFD">
        <w:tc>
          <w:tcPr>
            <w:tcW w:w="5000" w:type="pct"/>
            <w:tcBorders>
              <w:bottom w:val="single" w:sz="4" w:space="0" w:color="78A22F" w:themeColor="accent1"/>
            </w:tcBorders>
            <w:shd w:val="clear" w:color="auto" w:fill="auto"/>
          </w:tcPr>
          <w:p w14:paraId="0569C065" w14:textId="77777777" w:rsidR="00DD3F5D" w:rsidRDefault="00DD3F5D" w:rsidP="00055DB8">
            <w:pPr>
              <w:pStyle w:val="Box"/>
              <w:spacing w:before="0" w:line="120" w:lineRule="exact"/>
            </w:pPr>
          </w:p>
        </w:tc>
      </w:tr>
    </w:tbl>
    <w:p w14:paraId="016FD91D" w14:textId="77777777" w:rsidR="003E7126" w:rsidRDefault="003E7126" w:rsidP="003E7126">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3E7126" w:rsidRPr="00F810D5" w14:paraId="0FF0C597" w14:textId="77777777" w:rsidTr="002608DE">
        <w:tc>
          <w:tcPr>
            <w:tcW w:w="5000" w:type="pct"/>
            <w:tcBorders>
              <w:top w:val="single" w:sz="6" w:space="0" w:color="78A22F"/>
              <w:bottom w:val="nil"/>
            </w:tcBorders>
            <w:shd w:val="clear" w:color="auto" w:fill="auto"/>
          </w:tcPr>
          <w:p w14:paraId="3AE8CC42" w14:textId="646882F5" w:rsidR="003E7126" w:rsidRPr="00F810D5" w:rsidRDefault="003E7126" w:rsidP="00055DB8">
            <w:pPr>
              <w:pStyle w:val="TableTitle"/>
              <w:rPr>
                <w:b w:val="0"/>
              </w:rPr>
            </w:pPr>
            <w:r>
              <w:rPr>
                <w:b w:val="0"/>
              </w:rPr>
              <w:lastRenderedPageBreak/>
              <w:t>Table 18.3</w:t>
            </w:r>
            <w:r w:rsidRPr="00F810D5">
              <w:rPr>
                <w:b w:val="0"/>
              </w:rPr>
              <w:tab/>
            </w:r>
            <w:r w:rsidRPr="00F810D5">
              <w:rPr>
                <w:b w:val="0"/>
                <w:sz w:val="18"/>
                <w:szCs w:val="18"/>
              </w:rPr>
              <w:t>(</w:t>
            </w:r>
            <w:r>
              <w:rPr>
                <w:b w:val="0"/>
                <w:sz w:val="18"/>
                <w:szCs w:val="18"/>
              </w:rPr>
              <w:t>CH</w:t>
            </w:r>
            <w:r w:rsidRPr="00CB1F56">
              <w:rPr>
                <w:b w:val="0"/>
                <w:sz w:val="18"/>
                <w:szCs w:val="18"/>
              </w:rPr>
              <w:t xml:space="preserve"> policy context</w:t>
            </w:r>
            <w:r>
              <w:rPr>
                <w:b w:val="0"/>
                <w:sz w:val="18"/>
                <w:szCs w:val="18"/>
              </w:rPr>
              <w:t xml:space="preserve"> 202</w:t>
            </w:r>
            <w:r w:rsidR="00E90537">
              <w:rPr>
                <w:b w:val="0"/>
                <w:sz w:val="18"/>
                <w:szCs w:val="18"/>
              </w:rPr>
              <w:t>1</w:t>
            </w:r>
            <w:r w:rsidRPr="00CB1F56">
              <w:rPr>
                <w:b w:val="0"/>
                <w:sz w:val="18"/>
                <w:szCs w:val="18"/>
              </w:rPr>
              <w:t xml:space="preserve"> </w:t>
            </w:r>
            <w:r w:rsidRPr="001413EB">
              <w:rPr>
                <w:b w:val="0"/>
                <w:sz w:val="18"/>
                <w:szCs w:val="18"/>
              </w:rPr>
              <w:t>continued)</w:t>
            </w:r>
          </w:p>
        </w:tc>
      </w:tr>
      <w:tr w:rsidR="003E7126" w14:paraId="7A055A69" w14:textId="77777777" w:rsidTr="002608DE">
        <w:tc>
          <w:tcPr>
            <w:tcW w:w="5000" w:type="pct"/>
            <w:tcBorders>
              <w:top w:val="nil"/>
              <w:bottom w:val="nil"/>
            </w:tcBorders>
            <w:shd w:val="clear" w:color="auto" w:fill="auto"/>
          </w:tcPr>
          <w:tbl>
            <w:tblPr>
              <w:tblW w:w="13324" w:type="dxa"/>
              <w:tblBorders>
                <w:top w:val="single" w:sz="6" w:space="0" w:color="BFBFBF" w:themeColor="background1" w:themeShade="BF"/>
                <w:bottom w:val="single" w:sz="6" w:space="0" w:color="BFBFBF" w:themeColor="background1" w:themeShade="BF"/>
              </w:tblBorders>
              <w:tblCellMar>
                <w:top w:w="28" w:type="dxa"/>
                <w:left w:w="0" w:type="dxa"/>
                <w:right w:w="0" w:type="dxa"/>
              </w:tblCellMar>
              <w:tblLook w:val="0000" w:firstRow="0" w:lastRow="0" w:firstColumn="0" w:lastColumn="0" w:noHBand="0" w:noVBand="0"/>
            </w:tblPr>
            <w:tblGrid>
              <w:gridCol w:w="1290"/>
              <w:gridCol w:w="1618"/>
              <w:gridCol w:w="1620"/>
              <w:gridCol w:w="1620"/>
              <w:gridCol w:w="1620"/>
              <w:gridCol w:w="1620"/>
              <w:gridCol w:w="1620"/>
              <w:gridCol w:w="1634"/>
              <w:gridCol w:w="682"/>
            </w:tblGrid>
            <w:tr w:rsidR="006477B9" w:rsidRPr="00C20133" w14:paraId="516E9D4E" w14:textId="77777777" w:rsidTr="00276025">
              <w:trPr>
                <w:trHeight w:val="276"/>
                <w:tblHeader/>
              </w:trPr>
              <w:tc>
                <w:tcPr>
                  <w:tcW w:w="484" w:type="pct"/>
                  <w:shd w:val="clear" w:color="auto" w:fill="auto"/>
                  <w:tcMar>
                    <w:top w:w="28" w:type="dxa"/>
                  </w:tcMar>
                </w:tcPr>
                <w:p w14:paraId="0193B241" w14:textId="77777777" w:rsidR="006477B9" w:rsidRPr="00DC0DFC" w:rsidRDefault="006477B9" w:rsidP="006477B9">
                  <w:pPr>
                    <w:pStyle w:val="TableColumnHeading"/>
                    <w:jc w:val="left"/>
                  </w:pPr>
                </w:p>
              </w:tc>
              <w:tc>
                <w:tcPr>
                  <w:tcW w:w="607" w:type="pct"/>
                </w:tcPr>
                <w:p w14:paraId="1A2A1BB1" w14:textId="77777777" w:rsidR="006477B9" w:rsidRPr="00C20133" w:rsidRDefault="006477B9" w:rsidP="0030079A">
                  <w:pPr>
                    <w:pStyle w:val="TableColumnHeading"/>
                    <w:jc w:val="center"/>
                  </w:pPr>
                  <w:r w:rsidRPr="00C20133">
                    <w:t>NSW</w:t>
                  </w:r>
                  <w:r w:rsidRPr="00DB4BC1">
                    <w:rPr>
                      <w:rStyle w:val="NoteLabel"/>
                    </w:rPr>
                    <w:t>e</w:t>
                  </w:r>
                </w:p>
              </w:tc>
              <w:tc>
                <w:tcPr>
                  <w:tcW w:w="608" w:type="pct"/>
                  <w:shd w:val="clear" w:color="auto" w:fill="auto"/>
                  <w:tcMar>
                    <w:top w:w="28" w:type="dxa"/>
                  </w:tcMar>
                </w:tcPr>
                <w:p w14:paraId="5C7511FE" w14:textId="77777777" w:rsidR="006477B9" w:rsidRPr="00C20133" w:rsidRDefault="006477B9" w:rsidP="0030079A">
                  <w:pPr>
                    <w:pStyle w:val="TableColumnHeading"/>
                    <w:jc w:val="center"/>
                  </w:pPr>
                  <w:r w:rsidRPr="00C20133">
                    <w:t>Vic</w:t>
                  </w:r>
                  <w:r w:rsidRPr="00DB4BC1">
                    <w:rPr>
                      <w:rStyle w:val="NoteLabel"/>
                    </w:rPr>
                    <w:t>f</w:t>
                  </w:r>
                </w:p>
              </w:tc>
              <w:tc>
                <w:tcPr>
                  <w:tcW w:w="608" w:type="pct"/>
                  <w:shd w:val="clear" w:color="auto" w:fill="auto"/>
                  <w:tcMar>
                    <w:top w:w="28" w:type="dxa"/>
                  </w:tcMar>
                </w:tcPr>
                <w:p w14:paraId="12402790" w14:textId="77777777" w:rsidR="006477B9" w:rsidRPr="00C20133" w:rsidRDefault="006477B9" w:rsidP="0030079A">
                  <w:pPr>
                    <w:pStyle w:val="TableColumnHeading"/>
                    <w:jc w:val="center"/>
                  </w:pPr>
                  <w:r w:rsidRPr="00C20133">
                    <w:t>Qld</w:t>
                  </w:r>
                  <w:r w:rsidRPr="00DB4BC1">
                    <w:rPr>
                      <w:rStyle w:val="NoteLabel"/>
                    </w:rPr>
                    <w:t>g</w:t>
                  </w:r>
                </w:p>
              </w:tc>
              <w:tc>
                <w:tcPr>
                  <w:tcW w:w="608" w:type="pct"/>
                </w:tcPr>
                <w:p w14:paraId="423A78DC" w14:textId="77777777" w:rsidR="006477B9" w:rsidRPr="00C20133" w:rsidRDefault="006477B9" w:rsidP="0030079A">
                  <w:pPr>
                    <w:pStyle w:val="TableColumnHeading"/>
                    <w:jc w:val="center"/>
                  </w:pPr>
                  <w:r w:rsidRPr="00C20133">
                    <w:t>WA</w:t>
                  </w:r>
                  <w:r w:rsidRPr="00C20133">
                    <w:rPr>
                      <w:rStyle w:val="NoteLabel"/>
                    </w:rPr>
                    <w:t>h</w:t>
                  </w:r>
                </w:p>
              </w:tc>
              <w:tc>
                <w:tcPr>
                  <w:tcW w:w="608" w:type="pct"/>
                </w:tcPr>
                <w:p w14:paraId="583B5694" w14:textId="77777777" w:rsidR="006477B9" w:rsidRPr="00C20133" w:rsidRDefault="006477B9" w:rsidP="0030079A">
                  <w:pPr>
                    <w:pStyle w:val="TableColumnHeading"/>
                    <w:jc w:val="center"/>
                  </w:pPr>
                  <w:r w:rsidRPr="00C20133">
                    <w:t>SA</w:t>
                  </w:r>
                  <w:r w:rsidRPr="00C20133">
                    <w:rPr>
                      <w:rStyle w:val="NoteLabel"/>
                    </w:rPr>
                    <w:t>i</w:t>
                  </w:r>
                </w:p>
              </w:tc>
              <w:tc>
                <w:tcPr>
                  <w:tcW w:w="608" w:type="pct"/>
                </w:tcPr>
                <w:p w14:paraId="7775509E" w14:textId="77777777" w:rsidR="006477B9" w:rsidRPr="00C20133" w:rsidRDefault="006477B9" w:rsidP="0030079A">
                  <w:pPr>
                    <w:pStyle w:val="TableColumnHeading"/>
                    <w:jc w:val="center"/>
                  </w:pPr>
                  <w:r w:rsidRPr="00C20133">
                    <w:t>Tas</w:t>
                  </w:r>
                  <w:r w:rsidRPr="00C20133">
                    <w:rPr>
                      <w:rStyle w:val="NoteLabel"/>
                    </w:rPr>
                    <w:t>j</w:t>
                  </w:r>
                </w:p>
              </w:tc>
              <w:tc>
                <w:tcPr>
                  <w:tcW w:w="613" w:type="pct"/>
                </w:tcPr>
                <w:p w14:paraId="6AA2A9F8" w14:textId="77777777" w:rsidR="006477B9" w:rsidRPr="00C20133" w:rsidRDefault="006477B9" w:rsidP="0030079A">
                  <w:pPr>
                    <w:pStyle w:val="TableColumnHeading"/>
                    <w:jc w:val="center"/>
                  </w:pPr>
                  <w:r w:rsidRPr="00C20133">
                    <w:t>ACT</w:t>
                  </w:r>
                  <w:r w:rsidRPr="00C20133">
                    <w:rPr>
                      <w:rStyle w:val="NoteLabel"/>
                    </w:rPr>
                    <w:t>k</w:t>
                  </w:r>
                </w:p>
              </w:tc>
              <w:tc>
                <w:tcPr>
                  <w:tcW w:w="256" w:type="pct"/>
                </w:tcPr>
                <w:p w14:paraId="7D5F7092" w14:textId="77777777" w:rsidR="006477B9" w:rsidRPr="00C20133" w:rsidRDefault="006477B9" w:rsidP="0030079A">
                  <w:pPr>
                    <w:pStyle w:val="TableColumnHeading"/>
                    <w:spacing w:before="140"/>
                    <w:ind w:right="28"/>
                    <w:jc w:val="center"/>
                  </w:pPr>
                  <w:r w:rsidRPr="00C20133">
                    <w:t>NT</w:t>
                  </w:r>
                </w:p>
              </w:tc>
            </w:tr>
          </w:tbl>
          <w:p w14:paraId="203A5CC3" w14:textId="5953DEB5" w:rsidR="003E7126" w:rsidRDefault="003E7126" w:rsidP="00055DB8">
            <w:pPr>
              <w:pStyle w:val="Box"/>
              <w:spacing w:before="0" w:line="120" w:lineRule="exact"/>
            </w:pPr>
          </w:p>
        </w:tc>
      </w:tr>
      <w:tr w:rsidR="003E7126" w14:paraId="51674A03" w14:textId="77777777" w:rsidTr="4E7DCBFD">
        <w:tc>
          <w:tcPr>
            <w:tcW w:w="5000" w:type="pct"/>
            <w:tcBorders>
              <w:top w:val="nil"/>
              <w:bottom w:val="nil"/>
            </w:tcBorders>
            <w:shd w:val="clear" w:color="auto" w:fill="auto"/>
          </w:tcPr>
          <w:p w14:paraId="09ABB9E4" w14:textId="10D84DF8" w:rsidR="00B30A22" w:rsidRDefault="548D241D" w:rsidP="00055DB8">
            <w:pPr>
              <w:pStyle w:val="Note"/>
              <w:jc w:val="left"/>
            </w:pPr>
            <w:r w:rsidRPr="4E7DCBFD">
              <w:rPr>
                <w:rStyle w:val="NoteLabel"/>
              </w:rPr>
              <w:t xml:space="preserve">a </w:t>
            </w:r>
            <w:r>
              <w:t xml:space="preserve">At 30 June. </w:t>
            </w:r>
            <w:r w:rsidRPr="4E7DCBFD">
              <w:rPr>
                <w:rStyle w:val="NoteLabel"/>
              </w:rPr>
              <w:t>b</w:t>
            </w:r>
            <w:r>
              <w:t xml:space="preserve"> </w:t>
            </w:r>
            <w:r w:rsidRPr="4E7DCBFD">
              <w:rPr>
                <w:b/>
                <w:bCs/>
              </w:rPr>
              <w:t>na</w:t>
            </w:r>
            <w:r>
              <w:t xml:space="preserve"> Not available. </w:t>
            </w:r>
            <w:r w:rsidRPr="4E7DCBFD">
              <w:rPr>
                <w:rStyle w:val="NoteLabel"/>
              </w:rPr>
              <w:t>c</w:t>
            </w:r>
            <w:r>
              <w:t xml:space="preserve"> CHO Community housing organisation </w:t>
            </w:r>
            <w:r w:rsidRPr="4E7DCBFD">
              <w:rPr>
                <w:rStyle w:val="NoteLabel"/>
              </w:rPr>
              <w:t>d</w:t>
            </w:r>
            <w:r w:rsidRPr="4E7DCBFD">
              <w:rPr>
                <w:b/>
                <w:bCs/>
              </w:rPr>
              <w:t xml:space="preserve"> </w:t>
            </w:r>
            <w:r>
              <w:t xml:space="preserve">For further information, see State and Territory government websites. </w:t>
            </w:r>
            <w:r w:rsidR="003E7126">
              <w:br/>
            </w:r>
            <w:r w:rsidRPr="4E7DCBFD">
              <w:rPr>
                <w:rStyle w:val="NoteLabel"/>
              </w:rPr>
              <w:t>e</w:t>
            </w:r>
            <w:r w:rsidRPr="4E7DCBFD">
              <w:rPr>
                <w:color w:val="00B050"/>
              </w:rPr>
              <w:t xml:space="preserve"> </w:t>
            </w:r>
            <w:r w:rsidRPr="4E7DCBFD">
              <w:rPr>
                <w:b/>
                <w:bCs/>
              </w:rPr>
              <w:t xml:space="preserve">NSW: </w:t>
            </w:r>
            <w:r>
              <w:t xml:space="preserve">The first $5000 of financial assets is exempt from assessment. Applicants under 18 years may be considered in certain circumstances. Rent to Income ratio: </w:t>
            </w:r>
            <w:r w:rsidRPr="006362A9">
              <w:t>25-30 per cent for the tenant and spouse/live</w:t>
            </w:r>
            <w:r w:rsidR="002D205C">
              <w:t>–</w:t>
            </w:r>
            <w:r w:rsidRPr="006362A9">
              <w:t>in partner (15 per cent for FTB recipients), and 15 per cent for other household members 18–20 yo.</w:t>
            </w:r>
            <w:r w:rsidR="003E7126" w:rsidRPr="006362A9">
              <w:br/>
            </w:r>
            <w:r w:rsidRPr="006362A9">
              <w:rPr>
                <w:rStyle w:val="NoteLabel"/>
              </w:rPr>
              <w:t>f</w:t>
            </w:r>
            <w:r w:rsidRPr="006362A9">
              <w:t xml:space="preserve"> </w:t>
            </w:r>
            <w:r w:rsidRPr="006362A9">
              <w:rPr>
                <w:b/>
                <w:bCs/>
              </w:rPr>
              <w:t>Vic:</w:t>
            </w:r>
            <w:r w:rsidRPr="006362A9">
              <w:t xml:space="preserve"> </w:t>
            </w:r>
            <w:r w:rsidR="5AD50C71" w:rsidRPr="006362A9">
              <w:t xml:space="preserve">CHOs </w:t>
            </w:r>
            <w:r w:rsidR="7EE954C6" w:rsidRPr="006362A9">
              <w:t>participating in</w:t>
            </w:r>
            <w:r w:rsidR="2A84B059" w:rsidRPr="006362A9">
              <w:t xml:space="preserve"> the</w:t>
            </w:r>
            <w:r w:rsidR="7EE954C6" w:rsidRPr="006362A9">
              <w:t xml:space="preserve"> </w:t>
            </w:r>
            <w:r w:rsidR="78C01DD6" w:rsidRPr="006362A9">
              <w:t>Victorian Housing Register</w:t>
            </w:r>
            <w:r w:rsidR="2A84B059" w:rsidRPr="006362A9">
              <w:t xml:space="preserve"> (</w:t>
            </w:r>
            <w:r w:rsidR="50BB2011" w:rsidRPr="006362A9">
              <w:t>common</w:t>
            </w:r>
            <w:r w:rsidR="371673DF" w:rsidRPr="006362A9">
              <w:t xml:space="preserve"> </w:t>
            </w:r>
            <w:r w:rsidR="299D35AA" w:rsidRPr="006362A9">
              <w:t>waitlist</w:t>
            </w:r>
            <w:r w:rsidR="6A5F6CC8" w:rsidRPr="006362A9">
              <w:t xml:space="preserve"> </w:t>
            </w:r>
            <w:r w:rsidR="50BB2011" w:rsidRPr="006362A9">
              <w:t xml:space="preserve">for PH/CH) </w:t>
            </w:r>
            <w:r w:rsidR="6A5F6CC8" w:rsidRPr="006362A9">
              <w:t xml:space="preserve">— </w:t>
            </w:r>
            <w:r w:rsidR="13D05836" w:rsidRPr="006362A9">
              <w:t>PH eligibility criteria apply.</w:t>
            </w:r>
            <w:r w:rsidR="6A5F6CC8" w:rsidRPr="006362A9">
              <w:t xml:space="preserve"> </w:t>
            </w:r>
            <w:r w:rsidR="1E87C4DE" w:rsidRPr="006362A9">
              <w:t xml:space="preserve">Other </w:t>
            </w:r>
            <w:r w:rsidR="2DE1CBDE" w:rsidRPr="006362A9">
              <w:t>CH</w:t>
            </w:r>
            <w:r w:rsidR="26CE3002" w:rsidRPr="006362A9">
              <w:t>Os</w:t>
            </w:r>
            <w:r w:rsidR="5AD50C71" w:rsidRPr="006362A9">
              <w:t xml:space="preserve"> </w:t>
            </w:r>
            <w:r w:rsidR="1E87C4DE" w:rsidRPr="006362A9">
              <w:t xml:space="preserve">operate in accordance with </w:t>
            </w:r>
            <w:r w:rsidR="0FC4E62A" w:rsidRPr="006362A9">
              <w:t>their</w:t>
            </w:r>
            <w:r w:rsidR="1E87C4DE" w:rsidRPr="006362A9">
              <w:t xml:space="preserve"> own policy, mission statement and vision</w:t>
            </w:r>
            <w:r w:rsidR="0FC4E62A" w:rsidRPr="006362A9">
              <w:t xml:space="preserve"> —</w:t>
            </w:r>
            <w:r w:rsidR="4C3D4021" w:rsidRPr="006362A9">
              <w:t xml:space="preserve"> </w:t>
            </w:r>
            <w:r w:rsidR="6DAEB752" w:rsidRPr="006362A9">
              <w:t xml:space="preserve">tenure </w:t>
            </w:r>
            <w:r w:rsidR="0FC4E62A" w:rsidRPr="006362A9">
              <w:t>and</w:t>
            </w:r>
            <w:r w:rsidR="6DAEB752" w:rsidRPr="006362A9">
              <w:t xml:space="preserve"> rent</w:t>
            </w:r>
            <w:r w:rsidR="002D205C">
              <w:t>–</w:t>
            </w:r>
            <w:r w:rsidR="6DAEB752" w:rsidRPr="006362A9">
              <w:t>setting policies</w:t>
            </w:r>
            <w:r w:rsidR="7C9FCE56" w:rsidRPr="006362A9">
              <w:t xml:space="preserve"> vary.</w:t>
            </w:r>
          </w:p>
          <w:p w14:paraId="5868C29A" w14:textId="77777777" w:rsidR="003E7126" w:rsidRDefault="003E7126" w:rsidP="00055DB8">
            <w:pPr>
              <w:pStyle w:val="Note"/>
              <w:jc w:val="left"/>
            </w:pPr>
            <w:r>
              <w:rPr>
                <w:rStyle w:val="NoteLabel"/>
              </w:rPr>
              <w:t>g</w:t>
            </w:r>
            <w:r w:rsidRPr="00F53AA6">
              <w:t xml:space="preserve"> </w:t>
            </w:r>
            <w:r w:rsidRPr="00514E77">
              <w:rPr>
                <w:b/>
              </w:rPr>
              <w:t>Qld:</w:t>
            </w:r>
            <w:r w:rsidRPr="00F53AA6">
              <w:t xml:space="preserve"> Six month periodic tenancies apply in certain circumstances. Tenancy review policies include ongoing </w:t>
            </w:r>
            <w:r>
              <w:t>eligibility</w:t>
            </w:r>
            <w:r w:rsidRPr="000B34AE">
              <w:rPr>
                <w:color w:val="FF0000"/>
              </w:rPr>
              <w:t xml:space="preserve"> </w:t>
            </w:r>
            <w:r w:rsidRPr="00F53AA6">
              <w:t xml:space="preserve">and need for the property. </w:t>
            </w:r>
            <w:r>
              <w:t>Rent includes total CRA received</w:t>
            </w:r>
          </w:p>
          <w:p w14:paraId="45FE61F1" w14:textId="77777777" w:rsidR="003E7126" w:rsidRDefault="003E7126" w:rsidP="00055DB8">
            <w:pPr>
              <w:pStyle w:val="Note"/>
              <w:jc w:val="left"/>
            </w:pPr>
            <w:r>
              <w:rPr>
                <w:rStyle w:val="NoteLabel"/>
              </w:rPr>
              <w:t>h</w:t>
            </w:r>
            <w:r w:rsidRPr="00F53AA6">
              <w:t xml:space="preserve"> </w:t>
            </w:r>
            <w:r w:rsidRPr="00E6334C">
              <w:rPr>
                <w:b/>
                <w:bCs/>
              </w:rPr>
              <w:t>WA</w:t>
            </w:r>
            <w:r w:rsidRPr="00E6334C">
              <w:t>:</w:t>
            </w:r>
            <w:r w:rsidRPr="00F53AA6">
              <w:t xml:space="preserve"> Higher income limits apply in </w:t>
            </w:r>
            <w:r w:rsidRPr="00566D61">
              <w:t>the north west and remote areas</w:t>
            </w:r>
            <w:r>
              <w:t xml:space="preserve"> and for people living with disability</w:t>
            </w:r>
            <w:r w:rsidRPr="00D726B6">
              <w:t>.</w:t>
            </w:r>
            <w:r w:rsidRPr="00FB20F1">
              <w:t xml:space="preserve"> </w:t>
            </w:r>
            <w:r>
              <w:t>Asset limits are higher for tenants aged over 60 years and people living with disability.</w:t>
            </w:r>
          </w:p>
          <w:p w14:paraId="4B0025C7" w14:textId="77777777" w:rsidR="003E7126" w:rsidRDefault="003E7126" w:rsidP="00055DB8">
            <w:pPr>
              <w:pStyle w:val="Note"/>
              <w:jc w:val="left"/>
            </w:pPr>
            <w:r>
              <w:rPr>
                <w:rStyle w:val="NoteLabel"/>
              </w:rPr>
              <w:t>i</w:t>
            </w:r>
            <w:r>
              <w:t xml:space="preserve"> </w:t>
            </w:r>
            <w:r w:rsidRPr="00037906">
              <w:rPr>
                <w:b/>
                <w:bCs/>
              </w:rPr>
              <w:t>SA:</w:t>
            </w:r>
            <w:r w:rsidRPr="00BB797F">
              <w:rPr>
                <w:b/>
                <w:bCs/>
              </w:rPr>
              <w:t xml:space="preserve"> </w:t>
            </w:r>
            <w:r>
              <w:t>Income limits regularly updated based on SA Average Weekly Earnings (ABS data). Asset limits regularly updated based on Centrelink asset limits. Lease length determined based on compliance with conditions of tenancy and household circumstances.</w:t>
            </w:r>
          </w:p>
          <w:p w14:paraId="5FB62B38" w14:textId="77777777" w:rsidR="003E7126" w:rsidRDefault="003E7126" w:rsidP="00055DB8">
            <w:pPr>
              <w:pStyle w:val="Note"/>
              <w:jc w:val="left"/>
            </w:pPr>
            <w:r>
              <w:rPr>
                <w:rStyle w:val="NoteLabel"/>
              </w:rPr>
              <w:t>j</w:t>
            </w:r>
            <w:r>
              <w:t xml:space="preserve"> </w:t>
            </w:r>
            <w:r w:rsidRPr="00C20133">
              <w:rPr>
                <w:b/>
                <w:bCs/>
              </w:rPr>
              <w:t>Tas</w:t>
            </w:r>
            <w:r>
              <w:t xml:space="preserve">: </w:t>
            </w:r>
            <w:r w:rsidRPr="003639E4">
              <w:t>Public housing eligibility</w:t>
            </w:r>
            <w:r>
              <w:t xml:space="preserve"> criteria</w:t>
            </w:r>
            <w:r w:rsidRPr="003639E4">
              <w:t xml:space="preserve"> apply to CH properties </w:t>
            </w:r>
            <w:r>
              <w:t>in which</w:t>
            </w:r>
            <w:r w:rsidRPr="003639E4">
              <w:t xml:space="preserve"> the State Housing Authority has an interest</w:t>
            </w:r>
            <w:r>
              <w:t>.</w:t>
            </w:r>
            <w:r w:rsidRPr="003639E4">
              <w:t xml:space="preserve"> </w:t>
            </w:r>
            <w:r w:rsidRPr="00D726B6">
              <w:t xml:space="preserve">Income limits updated regularly </w:t>
            </w:r>
            <w:r>
              <w:t>based on Low</w:t>
            </w:r>
            <w:r w:rsidRPr="00D726B6">
              <w:t xml:space="preserve"> Income Health Care Card eligibility.</w:t>
            </w:r>
            <w:r>
              <w:t xml:space="preserve"> </w:t>
            </w:r>
          </w:p>
          <w:p w14:paraId="6AA4DAB5" w14:textId="77777777" w:rsidR="003E7126" w:rsidRPr="00772DDA" w:rsidRDefault="003E7126" w:rsidP="00055DB8">
            <w:pPr>
              <w:pStyle w:val="Note"/>
              <w:jc w:val="left"/>
            </w:pPr>
            <w:r>
              <w:rPr>
                <w:rStyle w:val="NoteLabel"/>
              </w:rPr>
              <w:t>k</w:t>
            </w:r>
            <w:r w:rsidRPr="00FB20F1">
              <w:t> </w:t>
            </w:r>
            <w:r w:rsidRPr="008E0D8F">
              <w:rPr>
                <w:b/>
                <w:bCs/>
              </w:rPr>
              <w:t>ACT</w:t>
            </w:r>
            <w:r>
              <w:t xml:space="preserve">: </w:t>
            </w:r>
            <w:r w:rsidRPr="003F083C">
              <w:t>Additional eligibility criteria may apply according to the CH provider’s target group (including disability status).</w:t>
            </w:r>
          </w:p>
        </w:tc>
      </w:tr>
      <w:tr w:rsidR="003E7126" w14:paraId="4D18EED4" w14:textId="77777777" w:rsidTr="4E7DCBFD">
        <w:tc>
          <w:tcPr>
            <w:tcW w:w="5000" w:type="pct"/>
            <w:tcBorders>
              <w:top w:val="nil"/>
              <w:bottom w:val="nil"/>
            </w:tcBorders>
            <w:shd w:val="clear" w:color="auto" w:fill="auto"/>
          </w:tcPr>
          <w:p w14:paraId="028F4363" w14:textId="77777777" w:rsidR="003E7126" w:rsidRDefault="003E7126" w:rsidP="00055DB8">
            <w:pPr>
              <w:pStyle w:val="Source"/>
            </w:pPr>
            <w:r w:rsidRPr="00FB20F1">
              <w:t>Source</w:t>
            </w:r>
            <w:r w:rsidRPr="00167F06">
              <w:t xml:space="preserve">: </w:t>
            </w:r>
            <w:r w:rsidRPr="00F84C92">
              <w:t>State and Terri</w:t>
            </w:r>
            <w:r>
              <w:t>tory governments (unpublished).</w:t>
            </w:r>
          </w:p>
        </w:tc>
      </w:tr>
      <w:tr w:rsidR="003E7126" w14:paraId="1A2EB49C" w14:textId="77777777" w:rsidTr="4E7DCBFD">
        <w:tc>
          <w:tcPr>
            <w:tcW w:w="5000" w:type="pct"/>
            <w:tcBorders>
              <w:top w:val="nil"/>
              <w:bottom w:val="single" w:sz="4" w:space="0" w:color="78A22F" w:themeColor="accent1"/>
            </w:tcBorders>
            <w:shd w:val="clear" w:color="auto" w:fill="auto"/>
          </w:tcPr>
          <w:p w14:paraId="508F07E5" w14:textId="77777777" w:rsidR="003E7126" w:rsidRDefault="003E7126" w:rsidP="00055DB8">
            <w:pPr>
              <w:pStyle w:val="Box"/>
              <w:spacing w:before="0" w:line="120" w:lineRule="exact"/>
            </w:pPr>
          </w:p>
        </w:tc>
      </w:tr>
      <w:tr w:rsidR="003E7126" w:rsidRPr="00FB20F1" w14:paraId="29A3853C" w14:textId="77777777" w:rsidTr="4E7DCBFD">
        <w:tc>
          <w:tcPr>
            <w:tcW w:w="5000" w:type="pct"/>
            <w:tcBorders>
              <w:top w:val="single" w:sz="4" w:space="0" w:color="78A22F" w:themeColor="accent1"/>
              <w:bottom w:val="nil"/>
            </w:tcBorders>
            <w:shd w:val="clear" w:color="auto" w:fill="auto"/>
          </w:tcPr>
          <w:p w14:paraId="0CD3850A" w14:textId="77777777" w:rsidR="003E7126" w:rsidRPr="00626D32" w:rsidRDefault="003E7126" w:rsidP="00055DB8">
            <w:pPr>
              <w:pStyle w:val="BoxSpaceBelow"/>
            </w:pPr>
          </w:p>
        </w:tc>
      </w:tr>
      <w:tr w:rsidR="00CD0EB3" w14:paraId="045AF81A" w14:textId="77777777" w:rsidTr="4E7DCBFD">
        <w:trPr>
          <w:tblHeader/>
        </w:trPr>
        <w:tc>
          <w:tcPr>
            <w:tcW w:w="5000" w:type="pct"/>
            <w:shd w:val="clear" w:color="auto" w:fill="auto"/>
          </w:tcPr>
          <w:p w14:paraId="2657761D" w14:textId="1D6B971D" w:rsidR="00CD0EB3" w:rsidRPr="00784A05" w:rsidRDefault="00CD0EB3" w:rsidP="00055DB8">
            <w:pPr>
              <w:pStyle w:val="TableTitle"/>
              <w:tabs>
                <w:tab w:val="left" w:pos="720"/>
                <w:tab w:val="left" w:pos="1440"/>
                <w:tab w:val="left" w:pos="2160"/>
                <w:tab w:val="left" w:pos="2880"/>
                <w:tab w:val="left" w:pos="3600"/>
                <w:tab w:val="left" w:pos="4320"/>
                <w:tab w:val="left" w:pos="5040"/>
                <w:tab w:val="left" w:pos="5760"/>
                <w:tab w:val="left" w:pos="6480"/>
                <w:tab w:val="left" w:pos="7200"/>
                <w:tab w:val="left" w:pos="10935"/>
              </w:tabs>
            </w:pPr>
            <w:r>
              <w:rPr>
                <w:b w:val="0"/>
              </w:rPr>
              <w:lastRenderedPageBreak/>
              <w:t>Table 18.4</w:t>
            </w:r>
            <w:r>
              <w:tab/>
            </w:r>
            <w:r w:rsidRPr="00EA2D45">
              <w:t xml:space="preserve">Treatment of assets </w:t>
            </w:r>
            <w:r>
              <w:t>by housing agencies, 20</w:t>
            </w:r>
            <w:r w:rsidR="00175FA9">
              <w:t>20</w:t>
            </w:r>
            <w:r>
              <w:noBreakHyphen/>
              <w:t>2</w:t>
            </w:r>
            <w:r w:rsidR="00175FA9">
              <w:t>1</w:t>
            </w:r>
            <w:r>
              <w:rPr>
                <w:rStyle w:val="NoteLabel"/>
                <w:b/>
              </w:rPr>
              <w:t>a,</w:t>
            </w:r>
            <w:r w:rsidR="00742157">
              <w:rPr>
                <w:rStyle w:val="NoteLabel"/>
                <w:b/>
              </w:rPr>
              <w:t xml:space="preserve"> </w:t>
            </w:r>
            <w:r>
              <w:rPr>
                <w:rStyle w:val="NoteLabel"/>
                <w:b/>
              </w:rPr>
              <w:t>b</w:t>
            </w:r>
          </w:p>
        </w:tc>
      </w:tr>
      <w:tr w:rsidR="00CD0EB3" w14:paraId="2BCB3449" w14:textId="77777777" w:rsidTr="4E7DCBFD">
        <w:tc>
          <w:tcPr>
            <w:tcW w:w="5000" w:type="pct"/>
            <w:shd w:val="clear" w:color="auto" w:fill="auto"/>
          </w:tcPr>
          <w:tbl>
            <w:tblPr>
              <w:tblW w:w="13322" w:type="dxa"/>
              <w:tblCellMar>
                <w:top w:w="28" w:type="dxa"/>
                <w:left w:w="0" w:type="dxa"/>
                <w:right w:w="0" w:type="dxa"/>
              </w:tblCellMar>
              <w:tblLook w:val="0000" w:firstRow="0" w:lastRow="0" w:firstColumn="0" w:lastColumn="0" w:noHBand="0" w:noVBand="0"/>
            </w:tblPr>
            <w:tblGrid>
              <w:gridCol w:w="1176"/>
              <w:gridCol w:w="3031"/>
              <w:gridCol w:w="1411"/>
              <w:gridCol w:w="177"/>
              <w:gridCol w:w="1230"/>
              <w:gridCol w:w="1411"/>
              <w:gridCol w:w="1413"/>
              <w:gridCol w:w="1413"/>
              <w:gridCol w:w="965"/>
              <w:gridCol w:w="1095"/>
            </w:tblGrid>
            <w:tr w:rsidR="00CD0EB3" w14:paraId="252DB893" w14:textId="77777777" w:rsidTr="00055DB8">
              <w:trPr>
                <w:trHeight w:val="341"/>
                <w:tblHeader/>
              </w:trPr>
              <w:tc>
                <w:tcPr>
                  <w:tcW w:w="443" w:type="pct"/>
                  <w:tcBorders>
                    <w:top w:val="single" w:sz="6" w:space="0" w:color="BFBFBF"/>
                    <w:bottom w:val="single" w:sz="6" w:space="0" w:color="BFBFBF"/>
                  </w:tcBorders>
                  <w:shd w:val="clear" w:color="auto" w:fill="auto"/>
                  <w:tcMar>
                    <w:top w:w="28" w:type="dxa"/>
                  </w:tcMar>
                </w:tcPr>
                <w:p w14:paraId="30ECAE73" w14:textId="77777777" w:rsidR="00CD0EB3" w:rsidRPr="003C793B" w:rsidRDefault="00CD0EB3" w:rsidP="00055DB8">
                  <w:pPr>
                    <w:pStyle w:val="TableColumnHeading"/>
                    <w:jc w:val="center"/>
                  </w:pPr>
                </w:p>
              </w:tc>
              <w:tc>
                <w:tcPr>
                  <w:tcW w:w="1139" w:type="pct"/>
                  <w:tcBorders>
                    <w:top w:val="single" w:sz="6" w:space="0" w:color="BFBFBF"/>
                    <w:bottom w:val="single" w:sz="6" w:space="0" w:color="BFBFBF"/>
                  </w:tcBorders>
                </w:tcPr>
                <w:p w14:paraId="02ED43AE" w14:textId="77777777" w:rsidR="00CD0EB3" w:rsidRPr="00C20133" w:rsidRDefault="00CD0EB3" w:rsidP="00BA3B20">
                  <w:pPr>
                    <w:pStyle w:val="TableColumnHeading"/>
                    <w:spacing w:before="140"/>
                    <w:ind w:left="113"/>
                    <w:jc w:val="center"/>
                  </w:pPr>
                  <w:r w:rsidRPr="00C20133">
                    <w:t>NSW</w:t>
                  </w:r>
                </w:p>
              </w:tc>
              <w:tc>
                <w:tcPr>
                  <w:tcW w:w="531" w:type="pct"/>
                  <w:tcBorders>
                    <w:top w:val="single" w:sz="6" w:space="0" w:color="BFBFBF"/>
                    <w:bottom w:val="single" w:sz="6" w:space="0" w:color="BFBFBF"/>
                  </w:tcBorders>
                  <w:shd w:val="clear" w:color="auto" w:fill="auto"/>
                  <w:tcMar>
                    <w:top w:w="28" w:type="dxa"/>
                  </w:tcMar>
                </w:tcPr>
                <w:p w14:paraId="634A0BC7" w14:textId="77777777" w:rsidR="00CD0EB3" w:rsidRPr="00C20133" w:rsidRDefault="00CD0EB3" w:rsidP="00BA3B20">
                  <w:pPr>
                    <w:pStyle w:val="TableColumnHeading"/>
                    <w:ind w:left="113"/>
                    <w:jc w:val="center"/>
                  </w:pPr>
                  <w:r w:rsidRPr="00C20133">
                    <w:t>Vic</w:t>
                  </w:r>
                  <w:r w:rsidRPr="000744ED">
                    <w:rPr>
                      <w:rStyle w:val="NoteLabel"/>
                      <w:iCs/>
                    </w:rPr>
                    <w:t>c</w:t>
                  </w:r>
                </w:p>
              </w:tc>
              <w:tc>
                <w:tcPr>
                  <w:tcW w:w="531" w:type="pct"/>
                  <w:gridSpan w:val="2"/>
                  <w:tcBorders>
                    <w:top w:val="single" w:sz="6" w:space="0" w:color="BFBFBF"/>
                    <w:bottom w:val="single" w:sz="6" w:space="0" w:color="BFBFBF"/>
                  </w:tcBorders>
                  <w:shd w:val="clear" w:color="auto" w:fill="auto"/>
                  <w:tcMar>
                    <w:top w:w="28" w:type="dxa"/>
                  </w:tcMar>
                </w:tcPr>
                <w:p w14:paraId="2AB2B986" w14:textId="77777777" w:rsidR="00CD0EB3" w:rsidRPr="00C20133" w:rsidRDefault="00CD0EB3" w:rsidP="00BA3B20">
                  <w:pPr>
                    <w:pStyle w:val="TableColumnHeading"/>
                    <w:ind w:left="113"/>
                    <w:jc w:val="center"/>
                  </w:pPr>
                  <w:r w:rsidRPr="00C20133">
                    <w:t>Qld</w:t>
                  </w:r>
                  <w:r w:rsidRPr="000744ED">
                    <w:rPr>
                      <w:rStyle w:val="NoteLabel"/>
                      <w:iCs/>
                    </w:rPr>
                    <w:t>d</w:t>
                  </w:r>
                </w:p>
              </w:tc>
              <w:tc>
                <w:tcPr>
                  <w:tcW w:w="531" w:type="pct"/>
                  <w:tcBorders>
                    <w:top w:val="single" w:sz="6" w:space="0" w:color="BFBFBF"/>
                    <w:bottom w:val="single" w:sz="6" w:space="0" w:color="BFBFBF"/>
                  </w:tcBorders>
                </w:tcPr>
                <w:p w14:paraId="25840733" w14:textId="77777777" w:rsidR="00CD0EB3" w:rsidRPr="00C20133" w:rsidRDefault="00CD0EB3" w:rsidP="00BA3B20">
                  <w:pPr>
                    <w:pStyle w:val="TableColumnHeading"/>
                    <w:spacing w:before="140"/>
                    <w:ind w:left="113"/>
                    <w:jc w:val="center"/>
                  </w:pPr>
                  <w:r w:rsidRPr="00C20133">
                    <w:t>WA</w:t>
                  </w:r>
                </w:p>
              </w:tc>
              <w:tc>
                <w:tcPr>
                  <w:tcW w:w="532" w:type="pct"/>
                  <w:tcBorders>
                    <w:top w:val="single" w:sz="6" w:space="0" w:color="BFBFBF"/>
                    <w:bottom w:val="single" w:sz="6" w:space="0" w:color="BFBFBF"/>
                  </w:tcBorders>
                </w:tcPr>
                <w:p w14:paraId="5514E7DF" w14:textId="77777777" w:rsidR="00CD0EB3" w:rsidRPr="00C20133" w:rsidRDefault="00CD0EB3" w:rsidP="00BA3B20">
                  <w:pPr>
                    <w:pStyle w:val="TableColumnHeading"/>
                    <w:spacing w:before="140"/>
                    <w:ind w:left="113"/>
                    <w:jc w:val="center"/>
                  </w:pPr>
                  <w:r w:rsidRPr="00C20133">
                    <w:t>SA</w:t>
                  </w:r>
                </w:p>
              </w:tc>
              <w:tc>
                <w:tcPr>
                  <w:tcW w:w="532" w:type="pct"/>
                  <w:tcBorders>
                    <w:top w:val="single" w:sz="6" w:space="0" w:color="BFBFBF"/>
                    <w:bottom w:val="single" w:sz="6" w:space="0" w:color="BFBFBF"/>
                  </w:tcBorders>
                </w:tcPr>
                <w:p w14:paraId="1E1046A2" w14:textId="77777777" w:rsidR="00CD0EB3" w:rsidRPr="00C20133" w:rsidRDefault="00CD0EB3" w:rsidP="00BA3B20">
                  <w:pPr>
                    <w:pStyle w:val="TableColumnHeading"/>
                    <w:spacing w:before="140"/>
                    <w:ind w:left="113"/>
                    <w:jc w:val="center"/>
                  </w:pPr>
                  <w:r w:rsidRPr="00C20133">
                    <w:t>Tas</w:t>
                  </w:r>
                </w:p>
              </w:tc>
              <w:tc>
                <w:tcPr>
                  <w:tcW w:w="349" w:type="pct"/>
                  <w:tcBorders>
                    <w:top w:val="single" w:sz="6" w:space="0" w:color="BFBFBF"/>
                    <w:bottom w:val="single" w:sz="6" w:space="0" w:color="BFBFBF"/>
                  </w:tcBorders>
                </w:tcPr>
                <w:p w14:paraId="7172688D" w14:textId="77777777" w:rsidR="00CD0EB3" w:rsidRPr="00C20133" w:rsidRDefault="00CD0EB3" w:rsidP="00BA3B20">
                  <w:pPr>
                    <w:pStyle w:val="TableColumnHeading"/>
                    <w:spacing w:before="140"/>
                    <w:ind w:left="113"/>
                    <w:jc w:val="center"/>
                  </w:pPr>
                  <w:r w:rsidRPr="00C20133">
                    <w:t>ACT</w:t>
                  </w:r>
                </w:p>
              </w:tc>
              <w:tc>
                <w:tcPr>
                  <w:tcW w:w="412" w:type="pct"/>
                  <w:tcBorders>
                    <w:top w:val="single" w:sz="6" w:space="0" w:color="BFBFBF"/>
                    <w:bottom w:val="single" w:sz="6" w:space="0" w:color="BFBFBF"/>
                  </w:tcBorders>
                </w:tcPr>
                <w:p w14:paraId="4D21CFCD" w14:textId="77777777" w:rsidR="00CD0EB3" w:rsidRPr="00C20133" w:rsidRDefault="00CD0EB3" w:rsidP="00BA3B20">
                  <w:pPr>
                    <w:pStyle w:val="TableColumnHeading"/>
                    <w:ind w:left="113" w:right="28"/>
                    <w:jc w:val="center"/>
                  </w:pPr>
                  <w:r w:rsidRPr="00C20133">
                    <w:t>NT</w:t>
                  </w:r>
                  <w:r w:rsidRPr="000744ED">
                    <w:rPr>
                      <w:rStyle w:val="NoteLabel"/>
                      <w:iCs/>
                    </w:rPr>
                    <w:t>e</w:t>
                  </w:r>
                </w:p>
              </w:tc>
            </w:tr>
            <w:tr w:rsidR="00CD0EB3" w14:paraId="6D9D922A" w14:textId="77777777" w:rsidTr="00055DB8">
              <w:tc>
                <w:tcPr>
                  <w:tcW w:w="1582" w:type="pct"/>
                  <w:gridSpan w:val="2"/>
                  <w:tcBorders>
                    <w:top w:val="single" w:sz="6" w:space="0" w:color="BFBFBF"/>
                  </w:tcBorders>
                </w:tcPr>
                <w:p w14:paraId="660EB5B8" w14:textId="77777777" w:rsidR="00CD0EB3" w:rsidRPr="00510B19" w:rsidRDefault="00CD0EB3" w:rsidP="00055DB8">
                  <w:pPr>
                    <w:pStyle w:val="TableUnitsRow"/>
                    <w:jc w:val="left"/>
                  </w:pPr>
                  <w:r>
                    <w:rPr>
                      <w:rFonts w:cs="Arial"/>
                      <w:b/>
                      <w:szCs w:val="18"/>
                    </w:rPr>
                    <w:t>Revaluation method</w:t>
                  </w:r>
                </w:p>
              </w:tc>
              <w:tc>
                <w:tcPr>
                  <w:tcW w:w="531" w:type="pct"/>
                  <w:tcBorders>
                    <w:top w:val="single" w:sz="6" w:space="0" w:color="BFBFBF"/>
                  </w:tcBorders>
                </w:tcPr>
                <w:p w14:paraId="5D5E3746" w14:textId="77777777" w:rsidR="00CD0EB3" w:rsidRPr="00510B19" w:rsidRDefault="00CD0EB3" w:rsidP="00055DB8">
                  <w:pPr>
                    <w:pStyle w:val="TableUnitsRow"/>
                  </w:pPr>
                </w:p>
              </w:tc>
              <w:tc>
                <w:tcPr>
                  <w:tcW w:w="531" w:type="pct"/>
                  <w:gridSpan w:val="2"/>
                  <w:tcBorders>
                    <w:top w:val="single" w:sz="6" w:space="0" w:color="BFBFBF"/>
                  </w:tcBorders>
                </w:tcPr>
                <w:p w14:paraId="027B53B2" w14:textId="77777777" w:rsidR="00CD0EB3" w:rsidRPr="00510B19" w:rsidRDefault="00CD0EB3" w:rsidP="00055DB8">
                  <w:pPr>
                    <w:pStyle w:val="TableUnitsRow"/>
                    <w:ind w:right="28"/>
                  </w:pPr>
                </w:p>
              </w:tc>
              <w:tc>
                <w:tcPr>
                  <w:tcW w:w="531" w:type="pct"/>
                  <w:tcBorders>
                    <w:top w:val="single" w:sz="6" w:space="0" w:color="BFBFBF"/>
                  </w:tcBorders>
                </w:tcPr>
                <w:p w14:paraId="50469048" w14:textId="77777777" w:rsidR="00CD0EB3" w:rsidRPr="00510B19" w:rsidRDefault="00CD0EB3" w:rsidP="00055DB8">
                  <w:pPr>
                    <w:pStyle w:val="TableUnitsRow"/>
                    <w:ind w:right="28"/>
                  </w:pPr>
                </w:p>
              </w:tc>
              <w:tc>
                <w:tcPr>
                  <w:tcW w:w="532" w:type="pct"/>
                  <w:tcBorders>
                    <w:top w:val="single" w:sz="6" w:space="0" w:color="BFBFBF"/>
                  </w:tcBorders>
                </w:tcPr>
                <w:p w14:paraId="3E19F1FA" w14:textId="77777777" w:rsidR="00CD0EB3" w:rsidRPr="00510B19" w:rsidRDefault="00CD0EB3" w:rsidP="00055DB8">
                  <w:pPr>
                    <w:pStyle w:val="TableUnitsRow"/>
                    <w:ind w:right="28"/>
                  </w:pPr>
                </w:p>
              </w:tc>
              <w:tc>
                <w:tcPr>
                  <w:tcW w:w="532" w:type="pct"/>
                  <w:tcBorders>
                    <w:top w:val="single" w:sz="6" w:space="0" w:color="BFBFBF"/>
                  </w:tcBorders>
                </w:tcPr>
                <w:p w14:paraId="0464C9CF" w14:textId="77777777" w:rsidR="00CD0EB3" w:rsidRPr="00510B19" w:rsidRDefault="00CD0EB3" w:rsidP="00055DB8">
                  <w:pPr>
                    <w:pStyle w:val="TableUnitsRow"/>
                    <w:ind w:right="28"/>
                  </w:pPr>
                </w:p>
              </w:tc>
              <w:tc>
                <w:tcPr>
                  <w:tcW w:w="349" w:type="pct"/>
                  <w:tcBorders>
                    <w:top w:val="single" w:sz="6" w:space="0" w:color="BFBFBF"/>
                  </w:tcBorders>
                </w:tcPr>
                <w:p w14:paraId="299EB057" w14:textId="77777777" w:rsidR="00CD0EB3" w:rsidRPr="00510B19" w:rsidRDefault="00CD0EB3" w:rsidP="00055DB8">
                  <w:pPr>
                    <w:pStyle w:val="TableUnitsRow"/>
                    <w:ind w:right="28"/>
                  </w:pPr>
                </w:p>
              </w:tc>
              <w:tc>
                <w:tcPr>
                  <w:tcW w:w="412" w:type="pct"/>
                  <w:tcBorders>
                    <w:top w:val="single" w:sz="6" w:space="0" w:color="BFBFBF"/>
                  </w:tcBorders>
                </w:tcPr>
                <w:p w14:paraId="47DFBE8A" w14:textId="77777777" w:rsidR="00CD0EB3" w:rsidRPr="00510B19" w:rsidRDefault="00CD0EB3" w:rsidP="00055DB8">
                  <w:pPr>
                    <w:pStyle w:val="TableUnitsRow"/>
                    <w:ind w:right="28"/>
                  </w:pPr>
                </w:p>
              </w:tc>
            </w:tr>
            <w:tr w:rsidR="00AE15EC" w14:paraId="373967D0" w14:textId="77777777" w:rsidTr="00055DB8">
              <w:tc>
                <w:tcPr>
                  <w:tcW w:w="443" w:type="pct"/>
                </w:tcPr>
                <w:p w14:paraId="50FD53E3" w14:textId="77777777" w:rsidR="00AE15EC" w:rsidRDefault="00AE15EC" w:rsidP="00AE15EC">
                  <w:pPr>
                    <w:pStyle w:val="TableUnitsRow"/>
                    <w:jc w:val="left"/>
                  </w:pPr>
                  <w:r w:rsidRPr="009150D1">
                    <w:t>Land</w:t>
                  </w:r>
                </w:p>
              </w:tc>
              <w:tc>
                <w:tcPr>
                  <w:tcW w:w="1139" w:type="pct"/>
                </w:tcPr>
                <w:p w14:paraId="21880468" w14:textId="77777777" w:rsidR="00AE15EC" w:rsidRDefault="00AE15EC" w:rsidP="00AE15EC">
                  <w:pPr>
                    <w:pStyle w:val="TableUnitsRow"/>
                    <w:jc w:val="center"/>
                  </w:pPr>
                  <w:r w:rsidRPr="009150D1">
                    <w:t>Vacant land (with registered title)</w:t>
                  </w:r>
                  <w:r>
                    <w:t xml:space="preserve"> </w:t>
                  </w:r>
                  <w:r w:rsidRPr="009150D1">
                    <w:t>and land held for redevelopment based on Valuer general property information in the rating and taxation purposes valuation database.</w:t>
                  </w:r>
                </w:p>
              </w:tc>
              <w:tc>
                <w:tcPr>
                  <w:tcW w:w="531" w:type="pct"/>
                </w:tcPr>
                <w:p w14:paraId="7A1DD48E" w14:textId="77777777" w:rsidR="00AE15EC" w:rsidRDefault="00AE15EC" w:rsidP="00AE15EC">
                  <w:pPr>
                    <w:pStyle w:val="TableUnitsRow"/>
                    <w:jc w:val="center"/>
                  </w:pPr>
                  <w:r w:rsidRPr="0020663B">
                    <w:t>Fair value</w:t>
                  </w:r>
                </w:p>
              </w:tc>
              <w:tc>
                <w:tcPr>
                  <w:tcW w:w="531" w:type="pct"/>
                  <w:gridSpan w:val="2"/>
                </w:tcPr>
                <w:p w14:paraId="6570566D" w14:textId="77777777" w:rsidR="00AE15EC" w:rsidRDefault="00AE15EC" w:rsidP="00AE15EC">
                  <w:pPr>
                    <w:pStyle w:val="TableUnitsRow"/>
                    <w:ind w:right="28"/>
                    <w:jc w:val="center"/>
                  </w:pPr>
                  <w:r w:rsidRPr="0020663B">
                    <w:t>Fair value (in accordance with AASB13)</w:t>
                  </w:r>
                </w:p>
              </w:tc>
              <w:tc>
                <w:tcPr>
                  <w:tcW w:w="531" w:type="pct"/>
                </w:tcPr>
                <w:p w14:paraId="21B083C4" w14:textId="77777777" w:rsidR="00AE15EC" w:rsidRDefault="00AE15EC" w:rsidP="00AE15EC">
                  <w:pPr>
                    <w:pStyle w:val="TableUnitsRow"/>
                    <w:ind w:right="28"/>
                    <w:jc w:val="center"/>
                  </w:pPr>
                  <w:r w:rsidRPr="0020663B">
                    <w:t>Fair value (in accordance with AASB13)</w:t>
                  </w:r>
                </w:p>
              </w:tc>
              <w:tc>
                <w:tcPr>
                  <w:tcW w:w="532" w:type="pct"/>
                </w:tcPr>
                <w:p w14:paraId="0BBBCCD3" w14:textId="77777777" w:rsidR="00AE15EC" w:rsidRDefault="00AE15EC" w:rsidP="00AE15EC">
                  <w:pPr>
                    <w:pStyle w:val="TableUnitsRow"/>
                    <w:ind w:right="28"/>
                    <w:jc w:val="center"/>
                  </w:pPr>
                  <w:r w:rsidRPr="0020663B">
                    <w:t>Market</w:t>
                  </w:r>
                </w:p>
              </w:tc>
              <w:tc>
                <w:tcPr>
                  <w:tcW w:w="532" w:type="pct"/>
                </w:tcPr>
                <w:p w14:paraId="3EAD6D3B" w14:textId="77777777" w:rsidR="00AE15EC" w:rsidRDefault="00AE15EC" w:rsidP="00AE15EC">
                  <w:pPr>
                    <w:pStyle w:val="TableUnitsRow"/>
                    <w:ind w:right="28"/>
                    <w:jc w:val="center"/>
                  </w:pPr>
                  <w:r w:rsidRPr="0020663B">
                    <w:t>Net</w:t>
                  </w:r>
                </w:p>
              </w:tc>
              <w:tc>
                <w:tcPr>
                  <w:tcW w:w="349" w:type="pct"/>
                </w:tcPr>
                <w:p w14:paraId="1E443B37" w14:textId="5625790E" w:rsidR="00AE15EC" w:rsidRPr="006362A9" w:rsidRDefault="00AE15EC" w:rsidP="00AE15EC">
                  <w:pPr>
                    <w:pStyle w:val="TableUnitsRow"/>
                    <w:ind w:right="28"/>
                    <w:jc w:val="center"/>
                  </w:pPr>
                  <w:r w:rsidRPr="006362A9">
                    <w:t>Fair value (in accordance with AASB13)</w:t>
                  </w:r>
                </w:p>
              </w:tc>
              <w:tc>
                <w:tcPr>
                  <w:tcW w:w="412" w:type="pct"/>
                </w:tcPr>
                <w:p w14:paraId="3AA06B19" w14:textId="77777777" w:rsidR="00AE15EC" w:rsidRDefault="00AE15EC" w:rsidP="00AE15EC">
                  <w:pPr>
                    <w:pStyle w:val="TableUnitsRow"/>
                    <w:ind w:right="28"/>
                    <w:jc w:val="center"/>
                  </w:pPr>
                  <w:r w:rsidRPr="0020663B">
                    <w:t>Market Value (public housing); Nil (SOMIH)</w:t>
                  </w:r>
                </w:p>
              </w:tc>
            </w:tr>
            <w:tr w:rsidR="00AE15EC" w14:paraId="0C0ABE64" w14:textId="77777777" w:rsidTr="00055DB8">
              <w:trPr>
                <w:trHeight w:val="1812"/>
              </w:trPr>
              <w:tc>
                <w:tcPr>
                  <w:tcW w:w="443" w:type="pct"/>
                </w:tcPr>
                <w:p w14:paraId="30506636" w14:textId="77777777" w:rsidR="00AE15EC" w:rsidRDefault="00AE15EC" w:rsidP="00AE15EC">
                  <w:pPr>
                    <w:pStyle w:val="TableBodyText"/>
                    <w:jc w:val="left"/>
                  </w:pPr>
                  <w:r w:rsidRPr="009150D1">
                    <w:t>Buildings</w:t>
                  </w:r>
                </w:p>
              </w:tc>
              <w:tc>
                <w:tcPr>
                  <w:tcW w:w="1139" w:type="pct"/>
                </w:tcPr>
                <w:p w14:paraId="176E02AE" w14:textId="77777777" w:rsidR="00AE15EC" w:rsidRDefault="00AE15EC" w:rsidP="00AE15EC">
                  <w:pPr>
                    <w:pStyle w:val="TableBodyText"/>
                    <w:jc w:val="center"/>
                  </w:pPr>
                  <w:r w:rsidRPr="00504673">
                    <w:t>Fair value determined by applying an annual rolling benchmark valuation approach whereby a third of the Corporation</w:t>
                  </w:r>
                  <w:r>
                    <w:t>’</w:t>
                  </w:r>
                  <w:r w:rsidRPr="00504673">
                    <w:t>s benchmark properties (approx</w:t>
                  </w:r>
                  <w:r>
                    <w:t>.</w:t>
                  </w:r>
                  <w:r w:rsidRPr="00504673">
                    <w:t xml:space="preserve"> 1800) are valued by accredited property valuers with reference to market sales comparisons to calculate a market movement index, which is then applied to the remaining two thirds of the benchmark properties.</w:t>
                  </w:r>
                </w:p>
              </w:tc>
              <w:tc>
                <w:tcPr>
                  <w:tcW w:w="531" w:type="pct"/>
                </w:tcPr>
                <w:p w14:paraId="7269979D" w14:textId="77777777" w:rsidR="00AE15EC" w:rsidRDefault="00AE15EC" w:rsidP="00AE15EC">
                  <w:pPr>
                    <w:pStyle w:val="TableBodyText"/>
                    <w:jc w:val="center"/>
                  </w:pPr>
                  <w:r w:rsidRPr="00336F57">
                    <w:t>Fair value</w:t>
                  </w:r>
                </w:p>
              </w:tc>
              <w:tc>
                <w:tcPr>
                  <w:tcW w:w="531" w:type="pct"/>
                  <w:gridSpan w:val="2"/>
                </w:tcPr>
                <w:p w14:paraId="57EA4A09" w14:textId="77777777" w:rsidR="00AE15EC" w:rsidRDefault="00AE15EC" w:rsidP="00AE15EC">
                  <w:pPr>
                    <w:pStyle w:val="TableBodyText"/>
                    <w:ind w:right="28"/>
                    <w:jc w:val="center"/>
                  </w:pPr>
                  <w:r w:rsidRPr="00336F57">
                    <w:t>Fair value (in accordance with AASB13)</w:t>
                  </w:r>
                </w:p>
              </w:tc>
              <w:tc>
                <w:tcPr>
                  <w:tcW w:w="531" w:type="pct"/>
                </w:tcPr>
                <w:p w14:paraId="5227199A" w14:textId="77777777" w:rsidR="00AE15EC" w:rsidRDefault="00AE15EC" w:rsidP="00AE15EC">
                  <w:pPr>
                    <w:pStyle w:val="TableBodyText"/>
                    <w:ind w:right="28"/>
                    <w:jc w:val="center"/>
                  </w:pPr>
                  <w:r w:rsidRPr="00336F57">
                    <w:t>Fair value (in accordance with AASB13)</w:t>
                  </w:r>
                </w:p>
              </w:tc>
              <w:tc>
                <w:tcPr>
                  <w:tcW w:w="532" w:type="pct"/>
                </w:tcPr>
                <w:p w14:paraId="410E1D16" w14:textId="77777777" w:rsidR="00AE15EC" w:rsidRDefault="00AE15EC" w:rsidP="00AE15EC">
                  <w:pPr>
                    <w:pStyle w:val="TableBodyText"/>
                    <w:ind w:right="28"/>
                    <w:jc w:val="center"/>
                  </w:pPr>
                  <w:r w:rsidRPr="00336F57">
                    <w:t>Market</w:t>
                  </w:r>
                </w:p>
              </w:tc>
              <w:tc>
                <w:tcPr>
                  <w:tcW w:w="532" w:type="pct"/>
                </w:tcPr>
                <w:p w14:paraId="557E9D4C" w14:textId="77777777" w:rsidR="00AE15EC" w:rsidRDefault="00AE15EC" w:rsidP="00AE15EC">
                  <w:pPr>
                    <w:pStyle w:val="TableBodyText"/>
                    <w:ind w:right="28"/>
                    <w:jc w:val="center"/>
                  </w:pPr>
                  <w:r w:rsidRPr="00336F57">
                    <w:t>Net</w:t>
                  </w:r>
                </w:p>
              </w:tc>
              <w:tc>
                <w:tcPr>
                  <w:tcW w:w="349" w:type="pct"/>
                </w:tcPr>
                <w:p w14:paraId="7565514F" w14:textId="3FA0FA5C" w:rsidR="00AE15EC" w:rsidRPr="006362A9" w:rsidRDefault="00AE15EC" w:rsidP="00AE15EC">
                  <w:pPr>
                    <w:pStyle w:val="TableBodyText"/>
                    <w:ind w:right="28"/>
                    <w:jc w:val="center"/>
                  </w:pPr>
                  <w:r w:rsidRPr="006362A9">
                    <w:t>Fair value (in accordance with AASB13)</w:t>
                  </w:r>
                </w:p>
              </w:tc>
              <w:tc>
                <w:tcPr>
                  <w:tcW w:w="412" w:type="pct"/>
                </w:tcPr>
                <w:p w14:paraId="4AED48B2" w14:textId="77777777" w:rsidR="00AE15EC" w:rsidRDefault="00AE15EC" w:rsidP="00AE15EC">
                  <w:pPr>
                    <w:pStyle w:val="TableBodyText"/>
                    <w:ind w:right="28"/>
                    <w:jc w:val="center"/>
                  </w:pPr>
                  <w:r w:rsidRPr="00336F57">
                    <w:t>Market Value (public housing); Historical Replacement Cost (SOMIH)</w:t>
                  </w:r>
                </w:p>
              </w:tc>
            </w:tr>
            <w:tr w:rsidR="00CD0EB3" w14:paraId="3AC70633" w14:textId="77777777" w:rsidTr="00055DB8">
              <w:tc>
                <w:tcPr>
                  <w:tcW w:w="443" w:type="pct"/>
                  <w:shd w:val="clear" w:color="auto" w:fill="auto"/>
                </w:tcPr>
                <w:p w14:paraId="1336C11F" w14:textId="77777777" w:rsidR="00CD0EB3" w:rsidRPr="007B2878" w:rsidRDefault="00CD0EB3" w:rsidP="00055DB8">
                  <w:pPr>
                    <w:pStyle w:val="TableBodyText"/>
                    <w:jc w:val="left"/>
                    <w:rPr>
                      <w:szCs w:val="18"/>
                    </w:rPr>
                  </w:pPr>
                  <w:r w:rsidRPr="007B2878">
                    <w:rPr>
                      <w:szCs w:val="18"/>
                    </w:rPr>
                    <w:t>Other assets</w:t>
                  </w:r>
                </w:p>
              </w:tc>
              <w:tc>
                <w:tcPr>
                  <w:tcW w:w="1139" w:type="pct"/>
                </w:tcPr>
                <w:p w14:paraId="369B7DFB" w14:textId="77777777" w:rsidR="00CD0EB3" w:rsidRPr="007B2878" w:rsidRDefault="00CD0EB3" w:rsidP="00055DB8">
                  <w:pPr>
                    <w:pStyle w:val="TableBodyText"/>
                    <w:jc w:val="center"/>
                    <w:rPr>
                      <w:szCs w:val="18"/>
                    </w:rPr>
                  </w:pPr>
                  <w:r w:rsidRPr="007B2878">
                    <w:rPr>
                      <w:szCs w:val="18"/>
                    </w:rPr>
                    <w:t>Based on historical cost and not revalued each year.</w:t>
                  </w:r>
                </w:p>
              </w:tc>
              <w:tc>
                <w:tcPr>
                  <w:tcW w:w="531" w:type="pct"/>
                  <w:shd w:val="clear" w:color="auto" w:fill="auto"/>
                </w:tcPr>
                <w:p w14:paraId="063CD71C" w14:textId="77777777" w:rsidR="00CD0EB3" w:rsidRPr="007B2878" w:rsidRDefault="00CD0EB3" w:rsidP="00055DB8">
                  <w:pPr>
                    <w:pStyle w:val="TableBodyText"/>
                    <w:jc w:val="center"/>
                    <w:rPr>
                      <w:szCs w:val="18"/>
                    </w:rPr>
                  </w:pPr>
                  <w:r w:rsidRPr="007B2878">
                    <w:rPr>
                      <w:szCs w:val="18"/>
                    </w:rPr>
                    <w:t>Fair value</w:t>
                  </w:r>
                </w:p>
              </w:tc>
              <w:tc>
                <w:tcPr>
                  <w:tcW w:w="531" w:type="pct"/>
                  <w:gridSpan w:val="2"/>
                  <w:shd w:val="clear" w:color="auto" w:fill="auto"/>
                </w:tcPr>
                <w:p w14:paraId="6715073D" w14:textId="77777777" w:rsidR="00CD0EB3" w:rsidRPr="007B2878" w:rsidRDefault="00CD0EB3" w:rsidP="00055DB8">
                  <w:pPr>
                    <w:pStyle w:val="TableBodyText"/>
                    <w:ind w:right="28"/>
                    <w:jc w:val="center"/>
                    <w:rPr>
                      <w:szCs w:val="18"/>
                    </w:rPr>
                  </w:pPr>
                  <w:r w:rsidRPr="004C48F1">
                    <w:rPr>
                      <w:szCs w:val="18"/>
                    </w:rPr>
                    <w:t>At cost</w:t>
                  </w:r>
                </w:p>
              </w:tc>
              <w:tc>
                <w:tcPr>
                  <w:tcW w:w="531" w:type="pct"/>
                </w:tcPr>
                <w:p w14:paraId="2CC3A699" w14:textId="77777777" w:rsidR="00CD0EB3" w:rsidRPr="007B2878" w:rsidRDefault="00CD0EB3" w:rsidP="00055DB8">
                  <w:pPr>
                    <w:pStyle w:val="TableBodyText"/>
                    <w:ind w:right="28"/>
                    <w:jc w:val="center"/>
                    <w:rPr>
                      <w:szCs w:val="18"/>
                    </w:rPr>
                  </w:pPr>
                  <w:r w:rsidRPr="007B2878">
                    <w:rPr>
                      <w:szCs w:val="18"/>
                    </w:rPr>
                    <w:t>At cost</w:t>
                  </w:r>
                </w:p>
              </w:tc>
              <w:tc>
                <w:tcPr>
                  <w:tcW w:w="532" w:type="pct"/>
                </w:tcPr>
                <w:p w14:paraId="68DB0396" w14:textId="77777777" w:rsidR="00CD0EB3" w:rsidRPr="007B2878" w:rsidRDefault="00CD0EB3" w:rsidP="00055DB8">
                  <w:pPr>
                    <w:pStyle w:val="TableBodyText"/>
                    <w:ind w:right="28"/>
                    <w:jc w:val="center"/>
                    <w:rPr>
                      <w:szCs w:val="18"/>
                    </w:rPr>
                  </w:pPr>
                  <w:r w:rsidRPr="007B2878">
                    <w:rPr>
                      <w:szCs w:val="18"/>
                    </w:rPr>
                    <w:t>Historical cost</w:t>
                  </w:r>
                </w:p>
              </w:tc>
              <w:tc>
                <w:tcPr>
                  <w:tcW w:w="532" w:type="pct"/>
                </w:tcPr>
                <w:p w14:paraId="352580B0" w14:textId="77777777" w:rsidR="00CD0EB3" w:rsidRPr="007B2878" w:rsidRDefault="00CD0EB3" w:rsidP="00055DB8">
                  <w:pPr>
                    <w:pStyle w:val="TableBodyText"/>
                    <w:ind w:right="28"/>
                    <w:jc w:val="center"/>
                    <w:rPr>
                      <w:szCs w:val="18"/>
                    </w:rPr>
                  </w:pPr>
                  <w:r w:rsidRPr="007B2878">
                    <w:rPr>
                      <w:szCs w:val="18"/>
                    </w:rPr>
                    <w:t>..</w:t>
                  </w:r>
                </w:p>
              </w:tc>
              <w:tc>
                <w:tcPr>
                  <w:tcW w:w="349" w:type="pct"/>
                </w:tcPr>
                <w:p w14:paraId="7AC6A8B1" w14:textId="77777777" w:rsidR="00CD0EB3" w:rsidRPr="007B2878" w:rsidRDefault="00CD0EB3" w:rsidP="00055DB8">
                  <w:pPr>
                    <w:pStyle w:val="TableBodyText"/>
                    <w:ind w:right="28"/>
                    <w:jc w:val="center"/>
                    <w:rPr>
                      <w:szCs w:val="18"/>
                    </w:rPr>
                  </w:pPr>
                  <w:r w:rsidRPr="007B2878">
                    <w:rPr>
                      <w:szCs w:val="18"/>
                    </w:rPr>
                    <w:t xml:space="preserve">Historical cost </w:t>
                  </w:r>
                </w:p>
              </w:tc>
              <w:tc>
                <w:tcPr>
                  <w:tcW w:w="412" w:type="pct"/>
                </w:tcPr>
                <w:p w14:paraId="32427674" w14:textId="77777777" w:rsidR="00CD0EB3" w:rsidRPr="007B2878" w:rsidRDefault="00CD0EB3" w:rsidP="00055DB8">
                  <w:pPr>
                    <w:pStyle w:val="TableBodyText"/>
                    <w:ind w:right="28"/>
                    <w:jc w:val="center"/>
                    <w:rPr>
                      <w:szCs w:val="18"/>
                    </w:rPr>
                  </w:pPr>
                  <w:r w:rsidRPr="007B2878">
                    <w:rPr>
                      <w:szCs w:val="18"/>
                    </w:rPr>
                    <w:t>Historical Cost (public housing); Historical Replacement Cost (SOMIH)</w:t>
                  </w:r>
                </w:p>
              </w:tc>
            </w:tr>
            <w:tr w:rsidR="00CD0EB3" w14:paraId="05CF9D70" w14:textId="77777777" w:rsidTr="00055DB8">
              <w:tc>
                <w:tcPr>
                  <w:tcW w:w="443" w:type="pct"/>
                  <w:shd w:val="clear" w:color="auto" w:fill="auto"/>
                </w:tcPr>
                <w:p w14:paraId="0045A600" w14:textId="77777777" w:rsidR="00CD0EB3" w:rsidRDefault="00CD0EB3" w:rsidP="00055DB8">
                  <w:pPr>
                    <w:pStyle w:val="TableBodyText"/>
                    <w:jc w:val="left"/>
                    <w:rPr>
                      <w:b/>
                    </w:rPr>
                  </w:pPr>
                  <w:r>
                    <w:rPr>
                      <w:b/>
                    </w:rPr>
                    <w:t>R</w:t>
                  </w:r>
                  <w:r w:rsidRPr="00C87D70">
                    <w:rPr>
                      <w:b/>
                    </w:rPr>
                    <w:t>evaluation</w:t>
                  </w:r>
                  <w:r>
                    <w:rPr>
                      <w:b/>
                    </w:rPr>
                    <w:t xml:space="preserve"> frequency</w:t>
                  </w:r>
                </w:p>
                <w:p w14:paraId="0AFE0ED1" w14:textId="77777777" w:rsidR="00CD0EB3" w:rsidRPr="007B2878" w:rsidRDefault="00CD0EB3" w:rsidP="00055DB8">
                  <w:pPr>
                    <w:pStyle w:val="TableBodyText"/>
                    <w:jc w:val="left"/>
                    <w:rPr>
                      <w:b/>
                      <w:szCs w:val="18"/>
                    </w:rPr>
                  </w:pPr>
                  <w:r>
                    <w:rPr>
                      <w:szCs w:val="18"/>
                    </w:rPr>
                    <w:t>(</w:t>
                  </w:r>
                  <w:r w:rsidRPr="007B2878">
                    <w:rPr>
                      <w:szCs w:val="18"/>
                    </w:rPr>
                    <w:t>Land, buildings</w:t>
                  </w:r>
                  <w:r>
                    <w:rPr>
                      <w:szCs w:val="18"/>
                    </w:rPr>
                    <w:t>)</w:t>
                  </w:r>
                </w:p>
              </w:tc>
              <w:tc>
                <w:tcPr>
                  <w:tcW w:w="1139" w:type="pct"/>
                </w:tcPr>
                <w:p w14:paraId="4F8B1FF9" w14:textId="77777777" w:rsidR="00CD0EB3" w:rsidRPr="007B2878" w:rsidRDefault="00CD0EB3" w:rsidP="00055DB8">
                  <w:pPr>
                    <w:pStyle w:val="TableBodyText"/>
                    <w:jc w:val="center"/>
                    <w:rPr>
                      <w:szCs w:val="18"/>
                    </w:rPr>
                  </w:pPr>
                  <w:r w:rsidRPr="00A60C60">
                    <w:t>Annual</w:t>
                  </w:r>
                </w:p>
              </w:tc>
              <w:tc>
                <w:tcPr>
                  <w:tcW w:w="599" w:type="pct"/>
                  <w:gridSpan w:val="2"/>
                  <w:shd w:val="clear" w:color="auto" w:fill="auto"/>
                </w:tcPr>
                <w:p w14:paraId="27567694" w14:textId="77777777" w:rsidR="00CD0EB3" w:rsidRPr="007B2878" w:rsidRDefault="00CD0EB3" w:rsidP="00055DB8">
                  <w:pPr>
                    <w:pStyle w:val="TableBodyText"/>
                    <w:jc w:val="center"/>
                    <w:rPr>
                      <w:szCs w:val="18"/>
                    </w:rPr>
                  </w:pPr>
                  <w:r w:rsidRPr="00A60C60">
                    <w:t>5 yearly intervals (interim assessments by indices between intervals)</w:t>
                  </w:r>
                </w:p>
              </w:tc>
              <w:tc>
                <w:tcPr>
                  <w:tcW w:w="463" w:type="pct"/>
                  <w:shd w:val="clear" w:color="auto" w:fill="auto"/>
                </w:tcPr>
                <w:p w14:paraId="3B0FE23C" w14:textId="77777777" w:rsidR="00CD0EB3" w:rsidRPr="007B2878" w:rsidRDefault="00CD0EB3" w:rsidP="00055DB8">
                  <w:pPr>
                    <w:pStyle w:val="TableBodyText"/>
                    <w:ind w:right="28"/>
                    <w:jc w:val="center"/>
                    <w:rPr>
                      <w:szCs w:val="18"/>
                    </w:rPr>
                  </w:pPr>
                  <w:r w:rsidRPr="00A60C60">
                    <w:t>Annual</w:t>
                  </w:r>
                </w:p>
              </w:tc>
              <w:tc>
                <w:tcPr>
                  <w:tcW w:w="531" w:type="pct"/>
                </w:tcPr>
                <w:p w14:paraId="6B66E2CC" w14:textId="77777777" w:rsidR="00CD0EB3" w:rsidRPr="007B2878" w:rsidRDefault="00CD0EB3" w:rsidP="00055DB8">
                  <w:pPr>
                    <w:pStyle w:val="TableBodyText"/>
                    <w:ind w:right="28"/>
                    <w:jc w:val="center"/>
                    <w:rPr>
                      <w:szCs w:val="18"/>
                    </w:rPr>
                  </w:pPr>
                  <w:r w:rsidRPr="00A60C60">
                    <w:t>Annual</w:t>
                  </w:r>
                </w:p>
              </w:tc>
              <w:tc>
                <w:tcPr>
                  <w:tcW w:w="532" w:type="pct"/>
                </w:tcPr>
                <w:p w14:paraId="6517A57E" w14:textId="77777777" w:rsidR="00CD0EB3" w:rsidRPr="007B2878" w:rsidRDefault="00CD0EB3" w:rsidP="00055DB8">
                  <w:pPr>
                    <w:pStyle w:val="TableBodyText"/>
                    <w:ind w:right="28"/>
                    <w:jc w:val="center"/>
                    <w:rPr>
                      <w:szCs w:val="18"/>
                    </w:rPr>
                  </w:pPr>
                  <w:r w:rsidRPr="00A60C60">
                    <w:t>Annual</w:t>
                  </w:r>
                </w:p>
              </w:tc>
              <w:tc>
                <w:tcPr>
                  <w:tcW w:w="532" w:type="pct"/>
                </w:tcPr>
                <w:p w14:paraId="5734B680" w14:textId="77777777" w:rsidR="00CD0EB3" w:rsidRPr="007B2878" w:rsidRDefault="00CD0EB3" w:rsidP="00055DB8">
                  <w:pPr>
                    <w:pStyle w:val="TableBodyText"/>
                    <w:ind w:right="28"/>
                    <w:jc w:val="center"/>
                    <w:rPr>
                      <w:szCs w:val="18"/>
                    </w:rPr>
                  </w:pPr>
                  <w:r w:rsidRPr="00A60C60">
                    <w:t>Annual</w:t>
                  </w:r>
                </w:p>
              </w:tc>
              <w:tc>
                <w:tcPr>
                  <w:tcW w:w="349" w:type="pct"/>
                </w:tcPr>
                <w:p w14:paraId="1C4A43A3" w14:textId="77777777" w:rsidR="00CD0EB3" w:rsidRPr="007B2878" w:rsidRDefault="00CD0EB3" w:rsidP="00055DB8">
                  <w:pPr>
                    <w:pStyle w:val="TableBodyText"/>
                    <w:ind w:right="28"/>
                    <w:jc w:val="center"/>
                    <w:rPr>
                      <w:szCs w:val="18"/>
                    </w:rPr>
                  </w:pPr>
                  <w:r w:rsidRPr="00A60C60">
                    <w:t>Annual</w:t>
                  </w:r>
                </w:p>
              </w:tc>
              <w:tc>
                <w:tcPr>
                  <w:tcW w:w="412" w:type="pct"/>
                </w:tcPr>
                <w:p w14:paraId="681196B5" w14:textId="77777777" w:rsidR="00CD0EB3" w:rsidRPr="007B2878" w:rsidRDefault="00CD0EB3" w:rsidP="00055DB8">
                  <w:pPr>
                    <w:pStyle w:val="TableBodyText"/>
                    <w:ind w:right="28"/>
                    <w:jc w:val="center"/>
                    <w:rPr>
                      <w:szCs w:val="18"/>
                    </w:rPr>
                  </w:pPr>
                  <w:r w:rsidRPr="00A60C60">
                    <w:t>Annual</w:t>
                  </w:r>
                </w:p>
              </w:tc>
            </w:tr>
            <w:tr w:rsidR="00CD0EB3" w14:paraId="2D868AEC" w14:textId="77777777" w:rsidTr="00055DB8">
              <w:tc>
                <w:tcPr>
                  <w:tcW w:w="443" w:type="pct"/>
                  <w:tcBorders>
                    <w:bottom w:val="single" w:sz="6" w:space="0" w:color="BFBFBF" w:themeColor="background1" w:themeShade="BF"/>
                  </w:tcBorders>
                  <w:shd w:val="clear" w:color="auto" w:fill="auto"/>
                </w:tcPr>
                <w:p w14:paraId="08D77296" w14:textId="77777777" w:rsidR="00CD0EB3" w:rsidRPr="00AF211D" w:rsidRDefault="00CD0EB3" w:rsidP="00055DB8">
                  <w:pPr>
                    <w:pStyle w:val="TableBodyText"/>
                    <w:jc w:val="left"/>
                  </w:pPr>
                </w:p>
              </w:tc>
              <w:tc>
                <w:tcPr>
                  <w:tcW w:w="1139" w:type="pct"/>
                  <w:tcBorders>
                    <w:bottom w:val="single" w:sz="6" w:space="0" w:color="BFBFBF" w:themeColor="background1" w:themeShade="BF"/>
                  </w:tcBorders>
                </w:tcPr>
                <w:p w14:paraId="4C538E01" w14:textId="77777777" w:rsidR="00CD0EB3" w:rsidRPr="00062A07" w:rsidRDefault="00CD0EB3" w:rsidP="00055DB8">
                  <w:pPr>
                    <w:pStyle w:val="TableBodyText"/>
                    <w:jc w:val="center"/>
                    <w:rPr>
                      <w:b/>
                    </w:rPr>
                  </w:pPr>
                </w:p>
              </w:tc>
              <w:tc>
                <w:tcPr>
                  <w:tcW w:w="531" w:type="pct"/>
                  <w:tcBorders>
                    <w:bottom w:val="single" w:sz="6" w:space="0" w:color="BFBFBF" w:themeColor="background1" w:themeShade="BF"/>
                  </w:tcBorders>
                  <w:shd w:val="clear" w:color="auto" w:fill="auto"/>
                </w:tcPr>
                <w:p w14:paraId="3C7B87F7" w14:textId="77777777" w:rsidR="00CD0EB3" w:rsidRPr="00E61F69" w:rsidRDefault="00CD0EB3" w:rsidP="00055DB8">
                  <w:pPr>
                    <w:pStyle w:val="TableBodyText"/>
                    <w:jc w:val="center"/>
                  </w:pPr>
                </w:p>
              </w:tc>
              <w:tc>
                <w:tcPr>
                  <w:tcW w:w="531" w:type="pct"/>
                  <w:gridSpan w:val="2"/>
                  <w:tcBorders>
                    <w:bottom w:val="single" w:sz="6" w:space="0" w:color="BFBFBF" w:themeColor="background1" w:themeShade="BF"/>
                  </w:tcBorders>
                  <w:shd w:val="clear" w:color="auto" w:fill="auto"/>
                </w:tcPr>
                <w:p w14:paraId="6A1BF322" w14:textId="77777777" w:rsidR="00CD0EB3" w:rsidRPr="00E61F69" w:rsidRDefault="00CD0EB3" w:rsidP="00055DB8">
                  <w:pPr>
                    <w:pStyle w:val="TableBodyText"/>
                    <w:ind w:right="28"/>
                    <w:jc w:val="center"/>
                  </w:pPr>
                </w:p>
              </w:tc>
              <w:tc>
                <w:tcPr>
                  <w:tcW w:w="531" w:type="pct"/>
                  <w:tcBorders>
                    <w:bottom w:val="single" w:sz="6" w:space="0" w:color="BFBFBF" w:themeColor="background1" w:themeShade="BF"/>
                  </w:tcBorders>
                </w:tcPr>
                <w:p w14:paraId="4D4B487A" w14:textId="77777777" w:rsidR="00CD0EB3" w:rsidRPr="00E61F69" w:rsidRDefault="00CD0EB3" w:rsidP="00055DB8">
                  <w:pPr>
                    <w:pStyle w:val="TableBodyText"/>
                    <w:ind w:right="28"/>
                    <w:jc w:val="center"/>
                  </w:pPr>
                </w:p>
              </w:tc>
              <w:tc>
                <w:tcPr>
                  <w:tcW w:w="532" w:type="pct"/>
                  <w:tcBorders>
                    <w:bottom w:val="single" w:sz="6" w:space="0" w:color="BFBFBF" w:themeColor="background1" w:themeShade="BF"/>
                  </w:tcBorders>
                </w:tcPr>
                <w:p w14:paraId="5C284417" w14:textId="77777777" w:rsidR="00CD0EB3" w:rsidRPr="00E61F69" w:rsidRDefault="00CD0EB3" w:rsidP="00055DB8">
                  <w:pPr>
                    <w:pStyle w:val="TableBodyText"/>
                    <w:ind w:right="28"/>
                    <w:jc w:val="center"/>
                  </w:pPr>
                </w:p>
              </w:tc>
              <w:tc>
                <w:tcPr>
                  <w:tcW w:w="1293" w:type="pct"/>
                  <w:gridSpan w:val="3"/>
                  <w:tcBorders>
                    <w:bottom w:val="single" w:sz="6" w:space="0" w:color="BFBFBF" w:themeColor="background1" w:themeShade="BF"/>
                  </w:tcBorders>
                </w:tcPr>
                <w:p w14:paraId="0FC9030C" w14:textId="77777777" w:rsidR="00CD0EB3" w:rsidRPr="00E61F69" w:rsidRDefault="00CD0EB3" w:rsidP="00055DB8">
                  <w:pPr>
                    <w:pStyle w:val="TableBodyText"/>
                    <w:spacing w:before="80"/>
                    <w:ind w:right="28"/>
                  </w:pPr>
                  <w:r w:rsidRPr="00C52B8F">
                    <w:rPr>
                      <w:szCs w:val="18"/>
                    </w:rPr>
                    <w:t>(continued next page)</w:t>
                  </w:r>
                </w:p>
              </w:tc>
            </w:tr>
          </w:tbl>
          <w:p w14:paraId="1D8C55FB" w14:textId="77777777" w:rsidR="00CD0EB3" w:rsidRPr="00C52B8F" w:rsidRDefault="00CD0EB3" w:rsidP="00055DB8">
            <w:pPr>
              <w:pStyle w:val="Box"/>
              <w:jc w:val="right"/>
              <w:rPr>
                <w:sz w:val="18"/>
                <w:szCs w:val="18"/>
              </w:rPr>
            </w:pPr>
          </w:p>
        </w:tc>
      </w:tr>
      <w:tr w:rsidR="00CD0EB3" w14:paraId="29BFC9BD" w14:textId="77777777" w:rsidTr="4E7DCBFD">
        <w:tc>
          <w:tcPr>
            <w:tcW w:w="5000" w:type="pct"/>
            <w:tcBorders>
              <w:bottom w:val="single" w:sz="4" w:space="0" w:color="78A22F" w:themeColor="accent1"/>
            </w:tcBorders>
            <w:shd w:val="clear" w:color="auto" w:fill="auto"/>
          </w:tcPr>
          <w:p w14:paraId="2DA18D8B" w14:textId="77777777" w:rsidR="00CD0EB3" w:rsidRDefault="00CD0EB3" w:rsidP="00055DB8">
            <w:pPr>
              <w:pStyle w:val="Box"/>
              <w:spacing w:before="0" w:line="120" w:lineRule="exact"/>
            </w:pPr>
          </w:p>
        </w:tc>
      </w:tr>
    </w:tbl>
    <w:p w14:paraId="32C7CF0D" w14:textId="77777777" w:rsidR="00622088" w:rsidRDefault="00622088"/>
    <w:p w14:paraId="30CA3030" w14:textId="77777777" w:rsidR="00CD0EB3" w:rsidRDefault="00CD0EB3" w:rsidP="00CD0EB3"/>
    <w:p w14:paraId="1B3CA132" w14:textId="77777777" w:rsidR="008C661F" w:rsidRDefault="008C661F" w:rsidP="008C661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608"/>
      </w:tblGrid>
      <w:tr w:rsidR="008C661F" w14:paraId="37944018" w14:textId="77777777" w:rsidTr="00055DB8">
        <w:trPr>
          <w:tblHeader/>
        </w:trPr>
        <w:tc>
          <w:tcPr>
            <w:tcW w:w="5000" w:type="pct"/>
            <w:tcBorders>
              <w:top w:val="single" w:sz="6" w:space="0" w:color="78A22F"/>
              <w:left w:val="nil"/>
              <w:bottom w:val="nil"/>
              <w:right w:val="nil"/>
            </w:tcBorders>
            <w:shd w:val="clear" w:color="auto" w:fill="auto"/>
          </w:tcPr>
          <w:p w14:paraId="0000BE61" w14:textId="3FD464A5" w:rsidR="008C661F" w:rsidRPr="008836F5" w:rsidRDefault="008C661F" w:rsidP="00055DB8">
            <w:pPr>
              <w:pStyle w:val="TableTitle"/>
              <w:rPr>
                <w:b w:val="0"/>
                <w:sz w:val="18"/>
                <w:szCs w:val="18"/>
              </w:rPr>
            </w:pPr>
            <w:r>
              <w:rPr>
                <w:b w:val="0"/>
              </w:rPr>
              <w:t>Table 18.4</w:t>
            </w:r>
            <w:r>
              <w:tab/>
            </w:r>
            <w:r w:rsidRPr="005E52EF">
              <w:rPr>
                <w:b w:val="0"/>
                <w:sz w:val="18"/>
                <w:szCs w:val="18"/>
              </w:rPr>
              <w:t>(</w:t>
            </w:r>
            <w:r w:rsidRPr="005C1E5E">
              <w:rPr>
                <w:b w:val="0"/>
                <w:sz w:val="18"/>
                <w:szCs w:val="18"/>
              </w:rPr>
              <w:t xml:space="preserve">Treatment of assets by housing agencies </w:t>
            </w:r>
            <w:r>
              <w:rPr>
                <w:b w:val="0"/>
                <w:sz w:val="18"/>
                <w:szCs w:val="18"/>
              </w:rPr>
              <w:t>continued)</w:t>
            </w:r>
          </w:p>
        </w:tc>
      </w:tr>
      <w:tr w:rsidR="008C661F" w14:paraId="3F79B50B" w14:textId="77777777" w:rsidTr="00055DB8">
        <w:tc>
          <w:tcPr>
            <w:tcW w:w="5000" w:type="pct"/>
            <w:tcBorders>
              <w:top w:val="nil"/>
              <w:left w:val="nil"/>
              <w:bottom w:val="nil"/>
              <w:right w:val="nil"/>
            </w:tcBorders>
            <w:shd w:val="clear" w:color="auto" w:fill="auto"/>
          </w:tcPr>
          <w:tbl>
            <w:tblPr>
              <w:tblW w:w="13345" w:type="dxa"/>
              <w:tblCellMar>
                <w:top w:w="28" w:type="dxa"/>
                <w:left w:w="0" w:type="dxa"/>
                <w:right w:w="0" w:type="dxa"/>
              </w:tblCellMar>
              <w:tblLook w:val="0000" w:firstRow="0" w:lastRow="0" w:firstColumn="0" w:lastColumn="0" w:noHBand="0" w:noVBand="0"/>
            </w:tblPr>
            <w:tblGrid>
              <w:gridCol w:w="1352"/>
              <w:gridCol w:w="56"/>
              <w:gridCol w:w="1142"/>
              <w:gridCol w:w="1703"/>
              <w:gridCol w:w="1599"/>
              <w:gridCol w:w="243"/>
              <w:gridCol w:w="1038"/>
              <w:gridCol w:w="211"/>
              <w:gridCol w:w="8"/>
              <w:gridCol w:w="32"/>
              <w:gridCol w:w="1038"/>
              <w:gridCol w:w="419"/>
              <w:gridCol w:w="11"/>
              <w:gridCol w:w="27"/>
              <w:gridCol w:w="833"/>
              <w:gridCol w:w="638"/>
              <w:gridCol w:w="19"/>
              <w:gridCol w:w="627"/>
              <w:gridCol w:w="849"/>
              <w:gridCol w:w="11"/>
              <w:gridCol w:w="8"/>
              <w:gridCol w:w="419"/>
              <w:gridCol w:w="1046"/>
              <w:gridCol w:w="16"/>
            </w:tblGrid>
            <w:tr w:rsidR="008C6BEF" w14:paraId="6D0D66ED" w14:textId="77777777" w:rsidTr="00055DB8">
              <w:trPr>
                <w:trHeight w:val="278"/>
              </w:trPr>
              <w:tc>
                <w:tcPr>
                  <w:tcW w:w="528" w:type="pct"/>
                  <w:gridSpan w:val="2"/>
                  <w:tcBorders>
                    <w:top w:val="single" w:sz="6" w:space="0" w:color="BFBFBF" w:themeColor="background1" w:themeShade="BF"/>
                    <w:bottom w:val="single" w:sz="6" w:space="0" w:color="BFBFBF" w:themeColor="background1" w:themeShade="BF"/>
                  </w:tcBorders>
                  <w:shd w:val="clear" w:color="auto" w:fill="auto"/>
                </w:tcPr>
                <w:p w14:paraId="4D6B9CAE" w14:textId="77777777" w:rsidR="008C6BEF" w:rsidRPr="0041145C" w:rsidRDefault="008C6BEF" w:rsidP="008C6BEF">
                  <w:pPr>
                    <w:pStyle w:val="TableBodyText"/>
                    <w:jc w:val="left"/>
                    <w:rPr>
                      <w:b/>
                      <w:i/>
                    </w:rPr>
                  </w:pPr>
                </w:p>
              </w:tc>
              <w:tc>
                <w:tcPr>
                  <w:tcW w:w="428" w:type="pct"/>
                  <w:tcBorders>
                    <w:top w:val="single" w:sz="6" w:space="0" w:color="BFBFBF" w:themeColor="background1" w:themeShade="BF"/>
                    <w:bottom w:val="single" w:sz="6" w:space="0" w:color="BFBFBF" w:themeColor="background1" w:themeShade="BF"/>
                  </w:tcBorders>
                  <w:shd w:val="clear" w:color="auto" w:fill="auto"/>
                </w:tcPr>
                <w:p w14:paraId="34669D2C" w14:textId="72458846" w:rsidR="008C6BEF" w:rsidRPr="005C12D1" w:rsidRDefault="008C6BEF" w:rsidP="0030079A">
                  <w:pPr>
                    <w:pStyle w:val="TableBodyText"/>
                    <w:spacing w:before="140" w:after="80"/>
                    <w:ind w:left="113"/>
                    <w:jc w:val="center"/>
                    <w:rPr>
                      <w:i/>
                      <w:iCs/>
                    </w:rPr>
                  </w:pPr>
                  <w:r w:rsidRPr="005C12D1">
                    <w:rPr>
                      <w:i/>
                      <w:iCs/>
                    </w:rPr>
                    <w:t>NSW</w:t>
                  </w:r>
                </w:p>
              </w:tc>
              <w:tc>
                <w:tcPr>
                  <w:tcW w:w="638" w:type="pct"/>
                  <w:tcBorders>
                    <w:top w:val="single" w:sz="6" w:space="0" w:color="BFBFBF" w:themeColor="background1" w:themeShade="BF"/>
                    <w:bottom w:val="single" w:sz="6" w:space="0" w:color="BFBFBF" w:themeColor="background1" w:themeShade="BF"/>
                  </w:tcBorders>
                  <w:shd w:val="clear" w:color="auto" w:fill="auto"/>
                </w:tcPr>
                <w:p w14:paraId="5FA87248" w14:textId="72A90749" w:rsidR="008C6BEF" w:rsidRPr="0041145C" w:rsidRDefault="008C6BEF" w:rsidP="0030079A">
                  <w:pPr>
                    <w:pStyle w:val="TableBodyText"/>
                    <w:spacing w:before="80" w:after="80"/>
                    <w:ind w:left="113"/>
                    <w:jc w:val="center"/>
                    <w:rPr>
                      <w:b/>
                      <w:i/>
                    </w:rPr>
                  </w:pPr>
                  <w:r w:rsidRPr="005C12D1">
                    <w:rPr>
                      <w:i/>
                      <w:iCs/>
                    </w:rPr>
                    <w:t>Vic</w:t>
                  </w:r>
                  <w:r w:rsidRPr="008C6BEF">
                    <w:rPr>
                      <w:rStyle w:val="NoteLabel"/>
                      <w:i/>
                    </w:rPr>
                    <w:t>c</w:t>
                  </w:r>
                </w:p>
              </w:tc>
              <w:tc>
                <w:tcPr>
                  <w:tcW w:w="690" w:type="pct"/>
                  <w:gridSpan w:val="2"/>
                  <w:tcBorders>
                    <w:top w:val="single" w:sz="6" w:space="0" w:color="BFBFBF" w:themeColor="background1" w:themeShade="BF"/>
                    <w:bottom w:val="single" w:sz="6" w:space="0" w:color="BFBFBF" w:themeColor="background1" w:themeShade="BF"/>
                  </w:tcBorders>
                  <w:shd w:val="clear" w:color="auto" w:fill="auto"/>
                </w:tcPr>
                <w:p w14:paraId="5C351111" w14:textId="0A173D10" w:rsidR="008C6BEF" w:rsidRPr="0041145C" w:rsidRDefault="008C6BEF" w:rsidP="0030079A">
                  <w:pPr>
                    <w:pStyle w:val="TableBodyText"/>
                    <w:spacing w:before="80" w:after="80" w:line="240" w:lineRule="atLeast"/>
                    <w:ind w:left="113"/>
                    <w:jc w:val="center"/>
                    <w:rPr>
                      <w:i/>
                    </w:rPr>
                  </w:pPr>
                  <w:r w:rsidRPr="005C12D1">
                    <w:rPr>
                      <w:i/>
                      <w:iCs/>
                    </w:rPr>
                    <w:t>Qld</w:t>
                  </w:r>
                  <w:r w:rsidRPr="008C6BEF">
                    <w:rPr>
                      <w:rStyle w:val="NoteLabel"/>
                      <w:i/>
                    </w:rPr>
                    <w:t>d</w:t>
                  </w:r>
                </w:p>
              </w:tc>
              <w:tc>
                <w:tcPr>
                  <w:tcW w:w="483" w:type="pct"/>
                  <w:gridSpan w:val="4"/>
                  <w:tcBorders>
                    <w:top w:val="single" w:sz="6" w:space="0" w:color="BFBFBF" w:themeColor="background1" w:themeShade="BF"/>
                    <w:bottom w:val="single" w:sz="6" w:space="0" w:color="BFBFBF" w:themeColor="background1" w:themeShade="BF"/>
                  </w:tcBorders>
                  <w:shd w:val="clear" w:color="auto" w:fill="auto"/>
                </w:tcPr>
                <w:p w14:paraId="7ADC9C01" w14:textId="431F133D" w:rsidR="008C6BEF" w:rsidRPr="005C12D1" w:rsidRDefault="008C6BEF" w:rsidP="0030079A">
                  <w:pPr>
                    <w:pStyle w:val="TableBodyText"/>
                    <w:spacing w:before="140" w:after="80"/>
                    <w:ind w:left="113"/>
                    <w:jc w:val="center"/>
                    <w:rPr>
                      <w:i/>
                      <w:iCs/>
                    </w:rPr>
                  </w:pPr>
                  <w:r w:rsidRPr="005C12D1">
                    <w:rPr>
                      <w:i/>
                      <w:iCs/>
                    </w:rPr>
                    <w:t>WA</w:t>
                  </w:r>
                </w:p>
              </w:tc>
              <w:tc>
                <w:tcPr>
                  <w:tcW w:w="560" w:type="pct"/>
                  <w:gridSpan w:val="4"/>
                  <w:tcBorders>
                    <w:top w:val="single" w:sz="6" w:space="0" w:color="BFBFBF" w:themeColor="background1" w:themeShade="BF"/>
                    <w:bottom w:val="single" w:sz="6" w:space="0" w:color="BFBFBF" w:themeColor="background1" w:themeShade="BF"/>
                  </w:tcBorders>
                </w:tcPr>
                <w:p w14:paraId="7C59C29A" w14:textId="0647ECE4" w:rsidR="008C6BEF" w:rsidRPr="005C12D1" w:rsidRDefault="008C6BEF" w:rsidP="0030079A">
                  <w:pPr>
                    <w:pStyle w:val="TableBodyText"/>
                    <w:spacing w:before="140" w:after="80"/>
                    <w:ind w:left="113"/>
                    <w:jc w:val="center"/>
                    <w:rPr>
                      <w:i/>
                      <w:iCs/>
                    </w:rPr>
                  </w:pPr>
                  <w:r w:rsidRPr="005C12D1">
                    <w:rPr>
                      <w:i/>
                      <w:iCs/>
                    </w:rPr>
                    <w:t>SA</w:t>
                  </w:r>
                </w:p>
              </w:tc>
              <w:tc>
                <w:tcPr>
                  <w:tcW w:w="558" w:type="pct"/>
                  <w:gridSpan w:val="3"/>
                  <w:tcBorders>
                    <w:top w:val="single" w:sz="6" w:space="0" w:color="BFBFBF" w:themeColor="background1" w:themeShade="BF"/>
                    <w:bottom w:val="single" w:sz="6" w:space="0" w:color="BFBFBF" w:themeColor="background1" w:themeShade="BF"/>
                  </w:tcBorders>
                </w:tcPr>
                <w:p w14:paraId="1A8B920C" w14:textId="0E81F496" w:rsidR="008C6BEF" w:rsidRPr="005C12D1" w:rsidRDefault="008C6BEF" w:rsidP="0030079A">
                  <w:pPr>
                    <w:pStyle w:val="TableBodyText"/>
                    <w:spacing w:before="140" w:after="80"/>
                    <w:ind w:left="113"/>
                    <w:jc w:val="center"/>
                    <w:rPr>
                      <w:i/>
                      <w:iCs/>
                    </w:rPr>
                  </w:pPr>
                  <w:r w:rsidRPr="005C12D1">
                    <w:rPr>
                      <w:i/>
                      <w:iCs/>
                    </w:rPr>
                    <w:t>Tas</w:t>
                  </w:r>
                </w:p>
              </w:tc>
              <w:tc>
                <w:tcPr>
                  <w:tcW w:w="557" w:type="pct"/>
                  <w:gridSpan w:val="3"/>
                  <w:tcBorders>
                    <w:top w:val="single" w:sz="6" w:space="0" w:color="BFBFBF" w:themeColor="background1" w:themeShade="BF"/>
                    <w:bottom w:val="single" w:sz="6" w:space="0" w:color="BFBFBF" w:themeColor="background1" w:themeShade="BF"/>
                  </w:tcBorders>
                </w:tcPr>
                <w:p w14:paraId="776E92D3" w14:textId="102A5066" w:rsidR="008C6BEF" w:rsidRPr="005C12D1" w:rsidRDefault="008C6BEF" w:rsidP="0030079A">
                  <w:pPr>
                    <w:pStyle w:val="TableBodyText"/>
                    <w:spacing w:before="140" w:after="80"/>
                    <w:ind w:left="113"/>
                    <w:jc w:val="center"/>
                    <w:rPr>
                      <w:i/>
                      <w:iCs/>
                    </w:rPr>
                  </w:pPr>
                  <w:r w:rsidRPr="005C12D1">
                    <w:rPr>
                      <w:i/>
                      <w:iCs/>
                    </w:rPr>
                    <w:t>ACT</w:t>
                  </w:r>
                </w:p>
              </w:tc>
              <w:tc>
                <w:tcPr>
                  <w:tcW w:w="558" w:type="pct"/>
                  <w:gridSpan w:val="4"/>
                  <w:tcBorders>
                    <w:top w:val="single" w:sz="6" w:space="0" w:color="BFBFBF" w:themeColor="background1" w:themeShade="BF"/>
                    <w:bottom w:val="single" w:sz="6" w:space="0" w:color="BFBFBF" w:themeColor="background1" w:themeShade="BF"/>
                  </w:tcBorders>
                </w:tcPr>
                <w:p w14:paraId="680398E5" w14:textId="3BDC997B" w:rsidR="008C6BEF" w:rsidRPr="0041145C" w:rsidRDefault="008C6BEF" w:rsidP="0030079A">
                  <w:pPr>
                    <w:pStyle w:val="TableBodyText"/>
                    <w:spacing w:before="80" w:after="80"/>
                    <w:ind w:left="113" w:right="28"/>
                    <w:jc w:val="center"/>
                    <w:rPr>
                      <w:i/>
                    </w:rPr>
                  </w:pPr>
                  <w:r w:rsidRPr="005C12D1">
                    <w:rPr>
                      <w:i/>
                      <w:iCs/>
                    </w:rPr>
                    <w:t>NT</w:t>
                  </w:r>
                  <w:r w:rsidRPr="008C6BEF">
                    <w:rPr>
                      <w:rStyle w:val="NoteLabel"/>
                      <w:i/>
                    </w:rPr>
                    <w:t>e</w:t>
                  </w:r>
                </w:p>
              </w:tc>
            </w:tr>
            <w:tr w:rsidR="008C661F" w14:paraId="1DD4FA41" w14:textId="77777777" w:rsidTr="00055DB8">
              <w:trPr>
                <w:trHeight w:val="278"/>
              </w:trPr>
              <w:tc>
                <w:tcPr>
                  <w:tcW w:w="1593" w:type="pct"/>
                  <w:gridSpan w:val="4"/>
                  <w:tcBorders>
                    <w:top w:val="single" w:sz="6" w:space="0" w:color="BFBFBF" w:themeColor="background1" w:themeShade="BF"/>
                  </w:tcBorders>
                  <w:shd w:val="clear" w:color="auto" w:fill="auto"/>
                </w:tcPr>
                <w:p w14:paraId="363274DB" w14:textId="77777777" w:rsidR="008C661F" w:rsidRDefault="008C661F" w:rsidP="00055DB8">
                  <w:pPr>
                    <w:pStyle w:val="TableBodyText"/>
                    <w:jc w:val="left"/>
                  </w:pPr>
                  <w:r>
                    <w:rPr>
                      <w:b/>
                    </w:rPr>
                    <w:t>Useful asset lives</w:t>
                  </w:r>
                  <w:r>
                    <w:tab/>
                  </w:r>
                </w:p>
              </w:tc>
              <w:tc>
                <w:tcPr>
                  <w:tcW w:w="690" w:type="pct"/>
                  <w:gridSpan w:val="2"/>
                  <w:tcBorders>
                    <w:top w:val="single" w:sz="6" w:space="0" w:color="BFBFBF" w:themeColor="background1" w:themeShade="BF"/>
                  </w:tcBorders>
                  <w:shd w:val="clear" w:color="auto" w:fill="auto"/>
                </w:tcPr>
                <w:p w14:paraId="48B9B89F" w14:textId="77777777" w:rsidR="008C661F" w:rsidRDefault="008C661F" w:rsidP="00055DB8">
                  <w:pPr>
                    <w:pStyle w:val="TableBodyText"/>
                  </w:pPr>
                </w:p>
              </w:tc>
              <w:tc>
                <w:tcPr>
                  <w:tcW w:w="483" w:type="pct"/>
                  <w:gridSpan w:val="4"/>
                  <w:tcBorders>
                    <w:top w:val="single" w:sz="6" w:space="0" w:color="BFBFBF" w:themeColor="background1" w:themeShade="BF"/>
                  </w:tcBorders>
                  <w:shd w:val="clear" w:color="auto" w:fill="auto"/>
                </w:tcPr>
                <w:p w14:paraId="17EC750B" w14:textId="77777777" w:rsidR="008C661F" w:rsidRDefault="008C661F" w:rsidP="00055DB8">
                  <w:pPr>
                    <w:pStyle w:val="TableBodyText"/>
                    <w:ind w:right="28"/>
                  </w:pPr>
                </w:p>
              </w:tc>
              <w:tc>
                <w:tcPr>
                  <w:tcW w:w="560" w:type="pct"/>
                  <w:gridSpan w:val="4"/>
                  <w:tcBorders>
                    <w:top w:val="single" w:sz="6" w:space="0" w:color="BFBFBF" w:themeColor="background1" w:themeShade="BF"/>
                  </w:tcBorders>
                </w:tcPr>
                <w:p w14:paraId="6552F332" w14:textId="77777777" w:rsidR="008C661F" w:rsidRDefault="008C661F" w:rsidP="00055DB8">
                  <w:pPr>
                    <w:pStyle w:val="TableBodyText"/>
                    <w:ind w:right="28"/>
                  </w:pPr>
                </w:p>
              </w:tc>
              <w:tc>
                <w:tcPr>
                  <w:tcW w:w="558" w:type="pct"/>
                  <w:gridSpan w:val="3"/>
                  <w:tcBorders>
                    <w:top w:val="single" w:sz="6" w:space="0" w:color="BFBFBF" w:themeColor="background1" w:themeShade="BF"/>
                  </w:tcBorders>
                </w:tcPr>
                <w:p w14:paraId="3A48BAF4" w14:textId="77777777" w:rsidR="008C661F" w:rsidRDefault="008C661F" w:rsidP="00055DB8">
                  <w:pPr>
                    <w:pStyle w:val="TableBodyText"/>
                    <w:ind w:right="28"/>
                  </w:pPr>
                </w:p>
              </w:tc>
              <w:tc>
                <w:tcPr>
                  <w:tcW w:w="560" w:type="pct"/>
                  <w:gridSpan w:val="4"/>
                  <w:tcBorders>
                    <w:top w:val="single" w:sz="6" w:space="0" w:color="BFBFBF" w:themeColor="background1" w:themeShade="BF"/>
                  </w:tcBorders>
                </w:tcPr>
                <w:p w14:paraId="1338EACD" w14:textId="77777777" w:rsidR="008C661F" w:rsidRDefault="008C661F" w:rsidP="00055DB8">
                  <w:pPr>
                    <w:pStyle w:val="TableBodyText"/>
                    <w:ind w:right="28"/>
                  </w:pPr>
                </w:p>
              </w:tc>
              <w:tc>
                <w:tcPr>
                  <w:tcW w:w="555" w:type="pct"/>
                  <w:gridSpan w:val="3"/>
                  <w:tcBorders>
                    <w:top w:val="single" w:sz="6" w:space="0" w:color="BFBFBF" w:themeColor="background1" w:themeShade="BF"/>
                  </w:tcBorders>
                </w:tcPr>
                <w:p w14:paraId="09946AE1" w14:textId="77777777" w:rsidR="008C661F" w:rsidRDefault="008C661F" w:rsidP="00055DB8">
                  <w:pPr>
                    <w:pStyle w:val="TableBodyText"/>
                    <w:ind w:right="28"/>
                  </w:pPr>
                </w:p>
              </w:tc>
            </w:tr>
            <w:tr w:rsidR="008C661F" w14:paraId="7ADEAAA4" w14:textId="77777777" w:rsidTr="00055DB8">
              <w:tc>
                <w:tcPr>
                  <w:tcW w:w="507" w:type="pct"/>
                  <w:shd w:val="clear" w:color="auto" w:fill="auto"/>
                </w:tcPr>
                <w:p w14:paraId="0E915227" w14:textId="77777777" w:rsidR="008C661F" w:rsidRPr="00D0452B" w:rsidRDefault="008C661F" w:rsidP="00055DB8">
                  <w:pPr>
                    <w:pStyle w:val="TableBodyText"/>
                    <w:jc w:val="left"/>
                  </w:pPr>
                  <w:r w:rsidRPr="00D0452B">
                    <w:t>Residential properties</w:t>
                  </w:r>
                </w:p>
              </w:tc>
              <w:tc>
                <w:tcPr>
                  <w:tcW w:w="449" w:type="pct"/>
                  <w:gridSpan w:val="2"/>
                </w:tcPr>
                <w:p w14:paraId="78096108" w14:textId="77777777" w:rsidR="008C661F" w:rsidRPr="003B0B3A" w:rsidRDefault="008C661F" w:rsidP="00BA3B20">
                  <w:pPr>
                    <w:pStyle w:val="TableBodyText"/>
                    <w:jc w:val="center"/>
                  </w:pPr>
                  <w:r w:rsidRPr="003B0B3A">
                    <w:t xml:space="preserve">50 </w:t>
                  </w:r>
                  <w:r>
                    <w:t>years</w:t>
                  </w:r>
                </w:p>
              </w:tc>
              <w:tc>
                <w:tcPr>
                  <w:tcW w:w="638" w:type="pct"/>
                  <w:shd w:val="clear" w:color="auto" w:fill="auto"/>
                </w:tcPr>
                <w:p w14:paraId="1ADC58F5" w14:textId="77777777" w:rsidR="008C661F" w:rsidRPr="00A77700" w:rsidRDefault="008C661F" w:rsidP="00BA3B20">
                  <w:pPr>
                    <w:pStyle w:val="TableBodyText"/>
                    <w:jc w:val="center"/>
                  </w:pPr>
                  <w:r w:rsidRPr="00BF3FE0">
                    <w:t xml:space="preserve">85 </w:t>
                  </w:r>
                  <w:r>
                    <w:t>years</w:t>
                  </w:r>
                  <w:r w:rsidRPr="00BF3FE0">
                    <w:t xml:space="preserve"> (but moveable units is 45 </w:t>
                  </w:r>
                  <w:r>
                    <w:t>years</w:t>
                  </w:r>
                  <w:r w:rsidRPr="00BF3FE0">
                    <w:t>)</w:t>
                  </w:r>
                </w:p>
              </w:tc>
              <w:tc>
                <w:tcPr>
                  <w:tcW w:w="690" w:type="pct"/>
                  <w:gridSpan w:val="2"/>
                  <w:shd w:val="clear" w:color="auto" w:fill="auto"/>
                </w:tcPr>
                <w:p w14:paraId="124D7BF5" w14:textId="77777777" w:rsidR="008C661F" w:rsidRPr="00A77700" w:rsidRDefault="008C661F" w:rsidP="00BA3B20">
                  <w:pPr>
                    <w:pStyle w:val="TableBodyText"/>
                    <w:jc w:val="center"/>
                  </w:pPr>
                  <w:r w:rsidRPr="00A77700">
                    <w:t xml:space="preserve">50 </w:t>
                  </w:r>
                  <w:r>
                    <w:t>years</w:t>
                  </w:r>
                  <w:r w:rsidRPr="00A77700">
                    <w:t xml:space="preserve"> (2 per cent straight line depreciation)</w:t>
                  </w:r>
                </w:p>
              </w:tc>
              <w:tc>
                <w:tcPr>
                  <w:tcW w:w="468" w:type="pct"/>
                  <w:gridSpan w:val="2"/>
                </w:tcPr>
                <w:p w14:paraId="41992E63" w14:textId="77777777" w:rsidR="008C661F" w:rsidRPr="00A77700" w:rsidRDefault="008C661F" w:rsidP="00BA3B20">
                  <w:pPr>
                    <w:pStyle w:val="TableBodyText"/>
                    <w:jc w:val="center"/>
                  </w:pPr>
                  <w:r w:rsidRPr="00A77700">
                    <w:t xml:space="preserve">50 </w:t>
                  </w:r>
                  <w:r>
                    <w:t>years</w:t>
                  </w:r>
                </w:p>
              </w:tc>
              <w:tc>
                <w:tcPr>
                  <w:tcW w:w="561" w:type="pct"/>
                  <w:gridSpan w:val="4"/>
                </w:tcPr>
                <w:p w14:paraId="2C955146" w14:textId="77777777" w:rsidR="008C661F" w:rsidRPr="00A77700" w:rsidRDefault="008C661F" w:rsidP="00BA3B20">
                  <w:pPr>
                    <w:pStyle w:val="TableBodyText"/>
                    <w:jc w:val="center"/>
                  </w:pPr>
                  <w:r w:rsidRPr="00A77700">
                    <w:t xml:space="preserve">50 </w:t>
                  </w:r>
                  <w:r>
                    <w:t>years</w:t>
                  </w:r>
                </w:p>
              </w:tc>
              <w:tc>
                <w:tcPr>
                  <w:tcW w:w="565" w:type="pct"/>
                  <w:gridSpan w:val="4"/>
                </w:tcPr>
                <w:p w14:paraId="775BC4F1" w14:textId="77777777" w:rsidR="008C661F" w:rsidRPr="00A77700" w:rsidRDefault="008C661F" w:rsidP="00BA3B20">
                  <w:pPr>
                    <w:pStyle w:val="TableBodyText"/>
                    <w:jc w:val="center"/>
                  </w:pPr>
                  <w:r w:rsidRPr="00A77700">
                    <w:t xml:space="preserve">50 </w:t>
                  </w:r>
                  <w:r>
                    <w:t>years</w:t>
                  </w:r>
                </w:p>
              </w:tc>
              <w:tc>
                <w:tcPr>
                  <w:tcW w:w="560" w:type="pct"/>
                  <w:gridSpan w:val="3"/>
                </w:tcPr>
                <w:p w14:paraId="169F3B94" w14:textId="77777777" w:rsidR="008C661F" w:rsidRPr="00A77700" w:rsidRDefault="008C661F" w:rsidP="00BA3B20">
                  <w:pPr>
                    <w:pStyle w:val="TableBodyText"/>
                    <w:jc w:val="center"/>
                  </w:pPr>
                  <w:r w:rsidRPr="00A77700">
                    <w:t xml:space="preserve">up to 80 </w:t>
                  </w:r>
                  <w:r>
                    <w:t>years</w:t>
                  </w:r>
                </w:p>
              </w:tc>
              <w:tc>
                <w:tcPr>
                  <w:tcW w:w="562" w:type="pct"/>
                  <w:gridSpan w:val="5"/>
                </w:tcPr>
                <w:p w14:paraId="75BD5123" w14:textId="77777777" w:rsidR="008C661F" w:rsidRDefault="008C661F" w:rsidP="00BA3B20">
                  <w:pPr>
                    <w:pStyle w:val="TableBodyText"/>
                    <w:jc w:val="center"/>
                  </w:pPr>
                  <w:r w:rsidRPr="00A77700">
                    <w:t xml:space="preserve">50 </w:t>
                  </w:r>
                  <w:r>
                    <w:t>years</w:t>
                  </w:r>
                  <w:r w:rsidRPr="00A77700">
                    <w:t xml:space="preserve"> (public housing); 30</w:t>
                  </w:r>
                  <w:r>
                    <w:t> years</w:t>
                  </w:r>
                  <w:r w:rsidRPr="00A77700">
                    <w:t xml:space="preserve"> (SOMIH)</w:t>
                  </w:r>
                </w:p>
              </w:tc>
            </w:tr>
            <w:tr w:rsidR="008C661F" w14:paraId="755B8340" w14:textId="77777777" w:rsidTr="006362A9">
              <w:tc>
                <w:tcPr>
                  <w:tcW w:w="507" w:type="pct"/>
                  <w:shd w:val="clear" w:color="auto" w:fill="auto"/>
                </w:tcPr>
                <w:p w14:paraId="4B454A64" w14:textId="77777777" w:rsidR="008C661F" w:rsidRPr="00D0452B" w:rsidRDefault="008C661F" w:rsidP="00055DB8">
                  <w:pPr>
                    <w:pStyle w:val="TableBodyText"/>
                    <w:jc w:val="left"/>
                  </w:pPr>
                  <w:r w:rsidRPr="00D0452B">
                    <w:t>Vehicles</w:t>
                  </w:r>
                </w:p>
              </w:tc>
              <w:tc>
                <w:tcPr>
                  <w:tcW w:w="449" w:type="pct"/>
                  <w:gridSpan w:val="2"/>
                </w:tcPr>
                <w:p w14:paraId="3C43BF10" w14:textId="77777777" w:rsidR="008C661F" w:rsidRPr="003B0B3A" w:rsidRDefault="008C661F" w:rsidP="00B52184">
                  <w:pPr>
                    <w:pStyle w:val="TableBodyText"/>
                    <w:jc w:val="center"/>
                  </w:pPr>
                  <w:r w:rsidRPr="003B0B3A">
                    <w:t xml:space="preserve">3 </w:t>
                  </w:r>
                  <w:r>
                    <w:t>years</w:t>
                  </w:r>
                </w:p>
              </w:tc>
              <w:tc>
                <w:tcPr>
                  <w:tcW w:w="638" w:type="pct"/>
                  <w:shd w:val="clear" w:color="auto" w:fill="auto"/>
                </w:tcPr>
                <w:p w14:paraId="0E058F66" w14:textId="77777777" w:rsidR="008C661F" w:rsidRPr="00014C4B" w:rsidRDefault="008C661F" w:rsidP="00B52184">
                  <w:pPr>
                    <w:pStyle w:val="TableBodyText"/>
                    <w:jc w:val="center"/>
                  </w:pPr>
                  <w:r w:rsidRPr="00014C4B">
                    <w:t xml:space="preserve">5–10 </w:t>
                  </w:r>
                  <w:r>
                    <w:t>years</w:t>
                  </w:r>
                </w:p>
              </w:tc>
              <w:tc>
                <w:tcPr>
                  <w:tcW w:w="690" w:type="pct"/>
                  <w:gridSpan w:val="2"/>
                  <w:shd w:val="clear" w:color="auto" w:fill="auto"/>
                </w:tcPr>
                <w:p w14:paraId="065AF395" w14:textId="77777777" w:rsidR="008C661F" w:rsidRPr="00014C4B" w:rsidRDefault="008C661F" w:rsidP="00B52184">
                  <w:pPr>
                    <w:pStyle w:val="TableBodyText"/>
                    <w:jc w:val="center"/>
                  </w:pPr>
                  <w:r w:rsidRPr="004C48F1">
                    <w:t>..</w:t>
                  </w:r>
                </w:p>
              </w:tc>
              <w:tc>
                <w:tcPr>
                  <w:tcW w:w="468" w:type="pct"/>
                  <w:gridSpan w:val="2"/>
                </w:tcPr>
                <w:p w14:paraId="6A3F3F18" w14:textId="77777777" w:rsidR="008C661F" w:rsidRPr="00014C4B" w:rsidRDefault="008C661F" w:rsidP="00B52184">
                  <w:pPr>
                    <w:pStyle w:val="TableBodyText"/>
                    <w:jc w:val="center"/>
                  </w:pPr>
                  <w:r w:rsidRPr="00014C4B">
                    <w:t>6 years and 8</w:t>
                  </w:r>
                  <w:r>
                    <w:t> </w:t>
                  </w:r>
                  <w:r w:rsidRPr="00014C4B">
                    <w:t>months</w:t>
                  </w:r>
                </w:p>
              </w:tc>
              <w:tc>
                <w:tcPr>
                  <w:tcW w:w="561" w:type="pct"/>
                  <w:gridSpan w:val="4"/>
                </w:tcPr>
                <w:p w14:paraId="17645CC1" w14:textId="77777777" w:rsidR="008C661F" w:rsidRPr="00014C4B" w:rsidRDefault="008C661F" w:rsidP="00B52184">
                  <w:pPr>
                    <w:pStyle w:val="TableBodyText"/>
                    <w:jc w:val="center"/>
                  </w:pPr>
                  <w:r w:rsidRPr="00014C4B">
                    <w:t>..</w:t>
                  </w:r>
                </w:p>
              </w:tc>
              <w:tc>
                <w:tcPr>
                  <w:tcW w:w="565" w:type="pct"/>
                  <w:gridSpan w:val="4"/>
                </w:tcPr>
                <w:p w14:paraId="00471436" w14:textId="77777777" w:rsidR="008C661F" w:rsidRPr="00014C4B" w:rsidRDefault="008C661F" w:rsidP="00B52184">
                  <w:pPr>
                    <w:pStyle w:val="TableBodyText"/>
                    <w:jc w:val="center"/>
                  </w:pPr>
                  <w:r w:rsidRPr="00014C4B">
                    <w:t>5 years</w:t>
                  </w:r>
                </w:p>
              </w:tc>
              <w:tc>
                <w:tcPr>
                  <w:tcW w:w="560" w:type="pct"/>
                  <w:gridSpan w:val="3"/>
                  <w:shd w:val="clear" w:color="auto" w:fill="auto"/>
                </w:tcPr>
                <w:p w14:paraId="41DF02A8" w14:textId="367F023E" w:rsidR="008C661F" w:rsidRPr="00014C4B" w:rsidRDefault="00B852D6" w:rsidP="00B52184">
                  <w:pPr>
                    <w:pStyle w:val="TableBodyText"/>
                    <w:jc w:val="center"/>
                  </w:pPr>
                  <w:r w:rsidRPr="006362A9">
                    <w:t>3</w:t>
                  </w:r>
                  <w:r w:rsidR="00304B77">
                    <w:t>–</w:t>
                  </w:r>
                  <w:r w:rsidRPr="006362A9">
                    <w:t>5 years</w:t>
                  </w:r>
                </w:p>
              </w:tc>
              <w:tc>
                <w:tcPr>
                  <w:tcW w:w="562" w:type="pct"/>
                  <w:gridSpan w:val="5"/>
                </w:tcPr>
                <w:p w14:paraId="2375B2DD" w14:textId="77777777" w:rsidR="008C661F" w:rsidRDefault="008C661F" w:rsidP="00B52184">
                  <w:pPr>
                    <w:pStyle w:val="TableBodyText"/>
                    <w:jc w:val="center"/>
                  </w:pPr>
                  <w:r w:rsidRPr="00014C4B">
                    <w:t>2 years</w:t>
                  </w:r>
                </w:p>
              </w:tc>
            </w:tr>
            <w:tr w:rsidR="008C661F" w14:paraId="3733B707" w14:textId="77777777" w:rsidTr="00055DB8">
              <w:tc>
                <w:tcPr>
                  <w:tcW w:w="507" w:type="pct"/>
                  <w:shd w:val="clear" w:color="auto" w:fill="auto"/>
                </w:tcPr>
                <w:p w14:paraId="52C72C94" w14:textId="77777777" w:rsidR="008C661F" w:rsidRDefault="008C661F" w:rsidP="00055DB8">
                  <w:pPr>
                    <w:pStyle w:val="TableBodyText"/>
                    <w:jc w:val="left"/>
                  </w:pPr>
                  <w:r w:rsidRPr="00D0452B">
                    <w:t>Office equip.</w:t>
                  </w:r>
                </w:p>
              </w:tc>
              <w:tc>
                <w:tcPr>
                  <w:tcW w:w="449" w:type="pct"/>
                  <w:gridSpan w:val="2"/>
                </w:tcPr>
                <w:p w14:paraId="3E060D32" w14:textId="77777777" w:rsidR="008C661F" w:rsidRPr="003B0B3A" w:rsidRDefault="008C661F" w:rsidP="00B52184">
                  <w:pPr>
                    <w:pStyle w:val="TableBodyText"/>
                    <w:jc w:val="center"/>
                  </w:pPr>
                  <w:r w:rsidRPr="003B0B3A">
                    <w:t xml:space="preserve">3 </w:t>
                  </w:r>
                  <w:r>
                    <w:t>years</w:t>
                  </w:r>
                </w:p>
              </w:tc>
              <w:tc>
                <w:tcPr>
                  <w:tcW w:w="638" w:type="pct"/>
                  <w:shd w:val="clear" w:color="auto" w:fill="auto"/>
                </w:tcPr>
                <w:p w14:paraId="0935126E" w14:textId="77777777" w:rsidR="008C661F" w:rsidRPr="00331FCB" w:rsidRDefault="008C661F" w:rsidP="00B52184">
                  <w:pPr>
                    <w:pStyle w:val="TableBodyText"/>
                    <w:jc w:val="center"/>
                  </w:pPr>
                  <w:r w:rsidRPr="00331FCB">
                    <w:t xml:space="preserve">3–5 </w:t>
                  </w:r>
                  <w:r>
                    <w:t>years</w:t>
                  </w:r>
                </w:p>
              </w:tc>
              <w:tc>
                <w:tcPr>
                  <w:tcW w:w="690" w:type="pct"/>
                  <w:gridSpan w:val="2"/>
                  <w:shd w:val="clear" w:color="auto" w:fill="auto"/>
                </w:tcPr>
                <w:p w14:paraId="5410C294" w14:textId="5AFE2C0D" w:rsidR="008C661F" w:rsidRPr="00331FCB" w:rsidRDefault="008C661F" w:rsidP="00B52184">
                  <w:pPr>
                    <w:pStyle w:val="TableBodyText"/>
                    <w:jc w:val="center"/>
                  </w:pPr>
                  <w:r w:rsidRPr="004C48F1">
                    <w:t>2</w:t>
                  </w:r>
                  <w:r w:rsidR="007F3913">
                    <w:t>–</w:t>
                  </w:r>
                  <w:r w:rsidRPr="004C48F1">
                    <w:t>15 years (7</w:t>
                  </w:r>
                  <w:r w:rsidR="008E01C5">
                    <w:t>–</w:t>
                  </w:r>
                  <w:r w:rsidRPr="004C48F1">
                    <w:t>46</w:t>
                  </w:r>
                  <w:r>
                    <w:t> </w:t>
                  </w:r>
                  <w:r w:rsidR="008E01C5">
                    <w:br/>
                  </w:r>
                  <w:r w:rsidRPr="004C48F1">
                    <w:t>per</w:t>
                  </w:r>
                  <w:r w:rsidR="008E01C5">
                    <w:t> </w:t>
                  </w:r>
                  <w:r w:rsidRPr="004C48F1">
                    <w:t>cent straight line depreciation)</w:t>
                  </w:r>
                </w:p>
              </w:tc>
              <w:tc>
                <w:tcPr>
                  <w:tcW w:w="468" w:type="pct"/>
                  <w:gridSpan w:val="2"/>
                </w:tcPr>
                <w:p w14:paraId="22057F95" w14:textId="77777777" w:rsidR="008C661F" w:rsidRPr="00331FCB" w:rsidRDefault="008C661F" w:rsidP="00B52184">
                  <w:pPr>
                    <w:pStyle w:val="TableBodyText"/>
                    <w:jc w:val="center"/>
                  </w:pPr>
                  <w:r w:rsidRPr="00331FCB">
                    <w:t>5 years</w:t>
                  </w:r>
                </w:p>
              </w:tc>
              <w:tc>
                <w:tcPr>
                  <w:tcW w:w="561" w:type="pct"/>
                  <w:gridSpan w:val="4"/>
                </w:tcPr>
                <w:p w14:paraId="47FC4C79" w14:textId="77777777" w:rsidR="008C661F" w:rsidRPr="00331FCB" w:rsidRDefault="008C661F" w:rsidP="00B52184">
                  <w:pPr>
                    <w:pStyle w:val="TableBodyText"/>
                    <w:jc w:val="center"/>
                  </w:pPr>
                  <w:r w:rsidRPr="00331FCB">
                    <w:t xml:space="preserve">10 </w:t>
                  </w:r>
                  <w:r>
                    <w:t>years</w:t>
                  </w:r>
                </w:p>
              </w:tc>
              <w:tc>
                <w:tcPr>
                  <w:tcW w:w="565" w:type="pct"/>
                  <w:gridSpan w:val="4"/>
                </w:tcPr>
                <w:p w14:paraId="350E9387" w14:textId="77777777" w:rsidR="008C661F" w:rsidRPr="00331FCB" w:rsidRDefault="008C661F" w:rsidP="00B52184">
                  <w:pPr>
                    <w:pStyle w:val="TableBodyText"/>
                    <w:jc w:val="center"/>
                  </w:pPr>
                  <w:r w:rsidRPr="00331FCB">
                    <w:t>3 years</w:t>
                  </w:r>
                </w:p>
              </w:tc>
              <w:tc>
                <w:tcPr>
                  <w:tcW w:w="560" w:type="pct"/>
                  <w:gridSpan w:val="3"/>
                </w:tcPr>
                <w:p w14:paraId="0B3E6628" w14:textId="77777777" w:rsidR="008C661F" w:rsidRPr="00331FCB" w:rsidRDefault="008C661F" w:rsidP="00B52184">
                  <w:pPr>
                    <w:pStyle w:val="TableBodyText"/>
                    <w:jc w:val="center"/>
                  </w:pPr>
                  <w:r w:rsidRPr="00331FCB">
                    <w:t>..</w:t>
                  </w:r>
                </w:p>
              </w:tc>
              <w:tc>
                <w:tcPr>
                  <w:tcW w:w="562" w:type="pct"/>
                  <w:gridSpan w:val="5"/>
                </w:tcPr>
                <w:p w14:paraId="73E1C446" w14:textId="77777777" w:rsidR="008C661F" w:rsidRDefault="008C661F" w:rsidP="00B52184">
                  <w:pPr>
                    <w:pStyle w:val="TableBodyText"/>
                    <w:jc w:val="center"/>
                  </w:pPr>
                  <w:r w:rsidRPr="00331FCB">
                    <w:t>10 years</w:t>
                  </w:r>
                </w:p>
              </w:tc>
            </w:tr>
            <w:tr w:rsidR="008C661F" w:rsidRPr="00C87D70" w14:paraId="02F0C134" w14:textId="77777777" w:rsidTr="00055DB8">
              <w:tc>
                <w:tcPr>
                  <w:tcW w:w="507" w:type="pct"/>
                  <w:shd w:val="clear" w:color="auto" w:fill="auto"/>
                </w:tcPr>
                <w:p w14:paraId="56015C49" w14:textId="77777777" w:rsidR="008C661F" w:rsidRDefault="008C661F" w:rsidP="00055DB8">
                  <w:pPr>
                    <w:pStyle w:val="TableBodyText"/>
                    <w:jc w:val="left"/>
                  </w:pPr>
                  <w:r w:rsidRPr="00C87D70">
                    <w:t>IT equipment</w:t>
                  </w:r>
                </w:p>
              </w:tc>
              <w:tc>
                <w:tcPr>
                  <w:tcW w:w="449" w:type="pct"/>
                  <w:gridSpan w:val="2"/>
                </w:tcPr>
                <w:p w14:paraId="0D3E4712" w14:textId="77777777" w:rsidR="008C661F" w:rsidRPr="00C87D70" w:rsidRDefault="008C661F" w:rsidP="00B52184">
                  <w:pPr>
                    <w:jc w:val="center"/>
                    <w:rPr>
                      <w:rFonts w:ascii="Arial" w:hAnsi="Arial"/>
                      <w:sz w:val="18"/>
                      <w:szCs w:val="20"/>
                    </w:rPr>
                  </w:pPr>
                  <w:r w:rsidRPr="00C87D70">
                    <w:rPr>
                      <w:rFonts w:ascii="Arial" w:hAnsi="Arial"/>
                      <w:sz w:val="18"/>
                      <w:szCs w:val="20"/>
                    </w:rPr>
                    <w:t xml:space="preserve">3 </w:t>
                  </w:r>
                  <w:r>
                    <w:rPr>
                      <w:rFonts w:ascii="Arial" w:hAnsi="Arial"/>
                      <w:sz w:val="18"/>
                      <w:szCs w:val="20"/>
                    </w:rPr>
                    <w:t>years</w:t>
                  </w:r>
                </w:p>
              </w:tc>
              <w:tc>
                <w:tcPr>
                  <w:tcW w:w="638" w:type="pct"/>
                  <w:shd w:val="clear" w:color="auto" w:fill="auto"/>
                </w:tcPr>
                <w:p w14:paraId="29393C41" w14:textId="77777777" w:rsidR="008C661F" w:rsidRPr="00C87D70" w:rsidRDefault="008C661F" w:rsidP="00B52184">
                  <w:pPr>
                    <w:jc w:val="center"/>
                    <w:rPr>
                      <w:rFonts w:ascii="Arial" w:hAnsi="Arial"/>
                      <w:sz w:val="18"/>
                      <w:szCs w:val="20"/>
                    </w:rPr>
                  </w:pPr>
                  <w:r w:rsidRPr="00C87D70">
                    <w:rPr>
                      <w:rFonts w:ascii="Arial" w:hAnsi="Arial"/>
                      <w:sz w:val="18"/>
                      <w:szCs w:val="20"/>
                    </w:rPr>
                    <w:t xml:space="preserve">3–5 </w:t>
                  </w:r>
                  <w:r>
                    <w:rPr>
                      <w:rFonts w:ascii="Arial" w:hAnsi="Arial"/>
                      <w:sz w:val="18"/>
                      <w:szCs w:val="20"/>
                    </w:rPr>
                    <w:t>years</w:t>
                  </w:r>
                </w:p>
              </w:tc>
              <w:tc>
                <w:tcPr>
                  <w:tcW w:w="690" w:type="pct"/>
                  <w:gridSpan w:val="2"/>
                  <w:shd w:val="clear" w:color="auto" w:fill="auto"/>
                </w:tcPr>
                <w:p w14:paraId="13C964BB" w14:textId="01EE60C7" w:rsidR="008C661F" w:rsidRPr="00C87D70" w:rsidRDefault="007F3913" w:rsidP="00B52184">
                  <w:pPr>
                    <w:pStyle w:val="TableBodyText"/>
                    <w:jc w:val="center"/>
                  </w:pPr>
                  <w:r w:rsidRPr="004C48F1">
                    <w:t>2</w:t>
                  </w:r>
                  <w:r>
                    <w:t>–</w:t>
                  </w:r>
                  <w:r w:rsidRPr="004C48F1">
                    <w:t xml:space="preserve">15 </w:t>
                  </w:r>
                  <w:r w:rsidR="008C661F" w:rsidRPr="004C48F1">
                    <w:t>years (</w:t>
                  </w:r>
                  <w:r w:rsidR="008E01C5" w:rsidRPr="004C48F1">
                    <w:t>7</w:t>
                  </w:r>
                  <w:r w:rsidR="008E01C5">
                    <w:t>–</w:t>
                  </w:r>
                  <w:r w:rsidR="008E01C5" w:rsidRPr="004C48F1">
                    <w:t>46</w:t>
                  </w:r>
                  <w:r w:rsidR="008E01C5">
                    <w:t> </w:t>
                  </w:r>
                  <w:r w:rsidR="008E01C5">
                    <w:br/>
                  </w:r>
                  <w:r w:rsidR="008E01C5" w:rsidRPr="004C48F1">
                    <w:t>per</w:t>
                  </w:r>
                  <w:r w:rsidR="008E01C5">
                    <w:t> </w:t>
                  </w:r>
                  <w:r w:rsidR="008E01C5" w:rsidRPr="004C48F1">
                    <w:t xml:space="preserve">cent </w:t>
                  </w:r>
                  <w:r w:rsidR="008C661F" w:rsidRPr="004C48F1">
                    <w:t>straight line</w:t>
                  </w:r>
                  <w:r w:rsidR="008C661F" w:rsidRPr="00E71D3A">
                    <w:t xml:space="preserve"> </w:t>
                  </w:r>
                  <w:r w:rsidR="008C661F" w:rsidRPr="004C48F1">
                    <w:t>depreciation)</w:t>
                  </w:r>
                </w:p>
              </w:tc>
              <w:tc>
                <w:tcPr>
                  <w:tcW w:w="468" w:type="pct"/>
                  <w:gridSpan w:val="2"/>
                </w:tcPr>
                <w:p w14:paraId="302A089D" w14:textId="77777777" w:rsidR="008C661F" w:rsidRPr="00C87D70" w:rsidRDefault="008C661F" w:rsidP="00B52184">
                  <w:pPr>
                    <w:jc w:val="center"/>
                    <w:rPr>
                      <w:rFonts w:ascii="Arial" w:hAnsi="Arial"/>
                      <w:sz w:val="18"/>
                      <w:szCs w:val="20"/>
                    </w:rPr>
                  </w:pPr>
                  <w:r w:rsidRPr="00C87D70">
                    <w:rPr>
                      <w:rFonts w:ascii="Arial" w:hAnsi="Arial"/>
                      <w:sz w:val="18"/>
                      <w:szCs w:val="20"/>
                    </w:rPr>
                    <w:t>5 years</w:t>
                  </w:r>
                </w:p>
              </w:tc>
              <w:tc>
                <w:tcPr>
                  <w:tcW w:w="561" w:type="pct"/>
                  <w:gridSpan w:val="4"/>
                </w:tcPr>
                <w:p w14:paraId="57994F18" w14:textId="77777777" w:rsidR="008C661F" w:rsidRPr="00C87D70" w:rsidRDefault="008C661F" w:rsidP="00B52184">
                  <w:pPr>
                    <w:jc w:val="center"/>
                    <w:rPr>
                      <w:rFonts w:ascii="Arial" w:hAnsi="Arial"/>
                      <w:sz w:val="18"/>
                      <w:szCs w:val="20"/>
                    </w:rPr>
                  </w:pPr>
                  <w:r w:rsidRPr="00C87D70">
                    <w:rPr>
                      <w:rFonts w:ascii="Arial" w:hAnsi="Arial"/>
                      <w:sz w:val="18"/>
                      <w:szCs w:val="20"/>
                    </w:rPr>
                    <w:t xml:space="preserve">3 </w:t>
                  </w:r>
                  <w:r>
                    <w:rPr>
                      <w:rFonts w:ascii="Arial" w:hAnsi="Arial"/>
                      <w:sz w:val="18"/>
                      <w:szCs w:val="20"/>
                    </w:rPr>
                    <w:t>years</w:t>
                  </w:r>
                </w:p>
              </w:tc>
              <w:tc>
                <w:tcPr>
                  <w:tcW w:w="565" w:type="pct"/>
                  <w:gridSpan w:val="4"/>
                </w:tcPr>
                <w:p w14:paraId="2F7C2050" w14:textId="77777777" w:rsidR="008C661F" w:rsidRPr="00C87D70" w:rsidRDefault="008C661F" w:rsidP="00B52184">
                  <w:pPr>
                    <w:jc w:val="center"/>
                    <w:rPr>
                      <w:rFonts w:ascii="Arial" w:hAnsi="Arial"/>
                      <w:sz w:val="18"/>
                      <w:szCs w:val="20"/>
                    </w:rPr>
                  </w:pPr>
                  <w:r w:rsidRPr="00C87D70">
                    <w:rPr>
                      <w:rFonts w:ascii="Arial" w:hAnsi="Arial"/>
                      <w:sz w:val="18"/>
                      <w:szCs w:val="20"/>
                    </w:rPr>
                    <w:t>3 years</w:t>
                  </w:r>
                </w:p>
              </w:tc>
              <w:tc>
                <w:tcPr>
                  <w:tcW w:w="560" w:type="pct"/>
                  <w:gridSpan w:val="3"/>
                </w:tcPr>
                <w:p w14:paraId="47F079AC" w14:textId="77777777" w:rsidR="008C661F" w:rsidRPr="00C87D70" w:rsidRDefault="008C661F" w:rsidP="00B52184">
                  <w:pPr>
                    <w:jc w:val="center"/>
                    <w:rPr>
                      <w:rFonts w:ascii="Arial" w:hAnsi="Arial"/>
                      <w:sz w:val="18"/>
                      <w:szCs w:val="20"/>
                    </w:rPr>
                  </w:pPr>
                  <w:r w:rsidRPr="00C87D70">
                    <w:rPr>
                      <w:rFonts w:ascii="Arial" w:hAnsi="Arial"/>
                      <w:sz w:val="18"/>
                      <w:szCs w:val="20"/>
                    </w:rPr>
                    <w:t>..</w:t>
                  </w:r>
                </w:p>
              </w:tc>
              <w:tc>
                <w:tcPr>
                  <w:tcW w:w="562" w:type="pct"/>
                  <w:gridSpan w:val="5"/>
                </w:tcPr>
                <w:p w14:paraId="6F78A8CD" w14:textId="60034B35" w:rsidR="008C661F" w:rsidRPr="00C87D70" w:rsidRDefault="008C661F" w:rsidP="00B52184">
                  <w:pPr>
                    <w:jc w:val="center"/>
                    <w:rPr>
                      <w:rFonts w:ascii="Arial" w:hAnsi="Arial"/>
                      <w:sz w:val="18"/>
                      <w:szCs w:val="20"/>
                    </w:rPr>
                  </w:pPr>
                  <w:r w:rsidRPr="00C87D70">
                    <w:rPr>
                      <w:rFonts w:ascii="Arial" w:hAnsi="Arial"/>
                      <w:sz w:val="18"/>
                      <w:szCs w:val="20"/>
                    </w:rPr>
                    <w:t>3</w:t>
                  </w:r>
                  <w:r w:rsidR="007F3913">
                    <w:rPr>
                      <w:rFonts w:ascii="Arial" w:hAnsi="Arial"/>
                      <w:sz w:val="18"/>
                      <w:szCs w:val="20"/>
                    </w:rPr>
                    <w:t>–</w:t>
                  </w:r>
                  <w:r w:rsidRPr="00C87D70">
                    <w:rPr>
                      <w:rFonts w:ascii="Arial" w:hAnsi="Arial"/>
                      <w:sz w:val="18"/>
                      <w:szCs w:val="20"/>
                    </w:rPr>
                    <w:t>6 years</w:t>
                  </w:r>
                </w:p>
              </w:tc>
            </w:tr>
            <w:tr w:rsidR="008C661F" w:rsidRPr="00C87D70" w14:paraId="23E0F37E" w14:textId="77777777" w:rsidTr="00055DB8">
              <w:trPr>
                <w:gridAfter w:val="1"/>
                <w:wAfter w:w="6" w:type="pct"/>
              </w:trPr>
              <w:tc>
                <w:tcPr>
                  <w:tcW w:w="1593" w:type="pct"/>
                  <w:gridSpan w:val="4"/>
                  <w:shd w:val="clear" w:color="auto" w:fill="auto"/>
                </w:tcPr>
                <w:p w14:paraId="69309DC3" w14:textId="77777777" w:rsidR="008C661F" w:rsidRPr="00C87D70" w:rsidRDefault="008C661F" w:rsidP="00055DB8">
                  <w:pPr>
                    <w:pStyle w:val="TableBodyText"/>
                    <w:jc w:val="left"/>
                  </w:pPr>
                  <w:r w:rsidRPr="00C87D70">
                    <w:rPr>
                      <w:b/>
                    </w:rPr>
                    <w:t>Threshold capitalisation levels</w:t>
                  </w:r>
                </w:p>
              </w:tc>
              <w:tc>
                <w:tcPr>
                  <w:tcW w:w="599" w:type="pct"/>
                  <w:shd w:val="clear" w:color="auto" w:fill="auto"/>
                </w:tcPr>
                <w:p w14:paraId="092132B0" w14:textId="77777777" w:rsidR="008C661F" w:rsidRPr="00C87D70" w:rsidRDefault="008C661F" w:rsidP="00055DB8">
                  <w:pPr>
                    <w:rPr>
                      <w:rFonts w:ascii="Arial" w:hAnsi="Arial"/>
                      <w:sz w:val="18"/>
                      <w:szCs w:val="20"/>
                    </w:rPr>
                  </w:pPr>
                </w:p>
              </w:tc>
              <w:tc>
                <w:tcPr>
                  <w:tcW w:w="480" w:type="pct"/>
                  <w:gridSpan w:val="2"/>
                  <w:shd w:val="clear" w:color="auto" w:fill="auto"/>
                </w:tcPr>
                <w:p w14:paraId="59A2432E" w14:textId="77777777" w:rsidR="008C661F" w:rsidRPr="00C87D70" w:rsidRDefault="008C661F" w:rsidP="00055DB8">
                  <w:pPr>
                    <w:rPr>
                      <w:rFonts w:ascii="Arial" w:hAnsi="Arial"/>
                      <w:sz w:val="18"/>
                      <w:szCs w:val="20"/>
                    </w:rPr>
                  </w:pPr>
                </w:p>
              </w:tc>
              <w:tc>
                <w:tcPr>
                  <w:tcW w:w="483" w:type="pct"/>
                  <w:gridSpan w:val="4"/>
                </w:tcPr>
                <w:p w14:paraId="40F83339" w14:textId="77777777" w:rsidR="008C661F" w:rsidRPr="00C87D70" w:rsidRDefault="008C661F" w:rsidP="00055DB8">
                  <w:pPr>
                    <w:rPr>
                      <w:rFonts w:ascii="Arial" w:hAnsi="Arial"/>
                      <w:sz w:val="18"/>
                      <w:szCs w:val="20"/>
                    </w:rPr>
                  </w:pPr>
                </w:p>
              </w:tc>
              <w:tc>
                <w:tcPr>
                  <w:tcW w:w="483" w:type="pct"/>
                  <w:gridSpan w:val="4"/>
                </w:tcPr>
                <w:p w14:paraId="0CD1E0AF" w14:textId="77777777" w:rsidR="008C661F" w:rsidRPr="00C87D70" w:rsidRDefault="008C661F" w:rsidP="00055DB8">
                  <w:pPr>
                    <w:rPr>
                      <w:rFonts w:ascii="Arial" w:hAnsi="Arial"/>
                      <w:sz w:val="18"/>
                      <w:szCs w:val="20"/>
                    </w:rPr>
                  </w:pPr>
                </w:p>
              </w:tc>
              <w:tc>
                <w:tcPr>
                  <w:tcW w:w="481" w:type="pct"/>
                  <w:gridSpan w:val="3"/>
                </w:tcPr>
                <w:p w14:paraId="6AA55E48" w14:textId="77777777" w:rsidR="008C661F" w:rsidRPr="00C87D70" w:rsidRDefault="008C661F" w:rsidP="00055DB8">
                  <w:pPr>
                    <w:rPr>
                      <w:rFonts w:ascii="Arial" w:hAnsi="Arial"/>
                      <w:sz w:val="18"/>
                      <w:szCs w:val="20"/>
                    </w:rPr>
                  </w:pPr>
                </w:p>
              </w:tc>
              <w:tc>
                <w:tcPr>
                  <w:tcW w:w="482" w:type="pct"/>
                  <w:gridSpan w:val="4"/>
                </w:tcPr>
                <w:p w14:paraId="651EDFA6" w14:textId="77777777" w:rsidR="008C661F" w:rsidRPr="00C87D70" w:rsidRDefault="008C661F" w:rsidP="00055DB8">
                  <w:pPr>
                    <w:rPr>
                      <w:rFonts w:ascii="Arial" w:hAnsi="Arial"/>
                      <w:sz w:val="18"/>
                      <w:szCs w:val="20"/>
                    </w:rPr>
                  </w:pPr>
                </w:p>
              </w:tc>
              <w:tc>
                <w:tcPr>
                  <w:tcW w:w="392" w:type="pct"/>
                </w:tcPr>
                <w:p w14:paraId="6C76C7EE" w14:textId="77777777" w:rsidR="008C661F" w:rsidRPr="00C87D70" w:rsidRDefault="008C661F" w:rsidP="00055DB8">
                  <w:pPr>
                    <w:rPr>
                      <w:rFonts w:ascii="Arial" w:hAnsi="Arial"/>
                      <w:sz w:val="18"/>
                      <w:szCs w:val="20"/>
                    </w:rPr>
                  </w:pPr>
                </w:p>
              </w:tc>
            </w:tr>
            <w:tr w:rsidR="008C661F" w:rsidRPr="00C87D70" w14:paraId="56EEEF56" w14:textId="77777777" w:rsidTr="00055DB8">
              <w:tc>
                <w:tcPr>
                  <w:tcW w:w="507" w:type="pct"/>
                  <w:shd w:val="clear" w:color="auto" w:fill="auto"/>
                </w:tcPr>
                <w:p w14:paraId="07E9F055" w14:textId="77777777" w:rsidR="008C661F" w:rsidRPr="00C87D70" w:rsidRDefault="008C661F" w:rsidP="00055DB8">
                  <w:pPr>
                    <w:pStyle w:val="TableBodyText"/>
                    <w:jc w:val="left"/>
                  </w:pPr>
                </w:p>
              </w:tc>
              <w:tc>
                <w:tcPr>
                  <w:tcW w:w="449" w:type="pct"/>
                  <w:gridSpan w:val="2"/>
                </w:tcPr>
                <w:p w14:paraId="34B5B243" w14:textId="0EB19596" w:rsidR="008C661F" w:rsidRPr="00C87D70" w:rsidRDefault="008C661F" w:rsidP="00B52184">
                  <w:pPr>
                    <w:pStyle w:val="TableBodyText"/>
                    <w:jc w:val="center"/>
                  </w:pPr>
                  <w:r w:rsidRPr="00FA6349">
                    <w:t>$5 000</w:t>
                  </w:r>
                </w:p>
              </w:tc>
              <w:tc>
                <w:tcPr>
                  <w:tcW w:w="638" w:type="pct"/>
                  <w:shd w:val="clear" w:color="auto" w:fill="auto"/>
                </w:tcPr>
                <w:p w14:paraId="398495D3" w14:textId="4DC46226" w:rsidR="008C661F" w:rsidRPr="00C87D70" w:rsidRDefault="008C661F" w:rsidP="00B52184">
                  <w:pPr>
                    <w:pStyle w:val="TableBodyText"/>
                    <w:jc w:val="center"/>
                  </w:pPr>
                  <w:r w:rsidRPr="00FA6349">
                    <w:t>$5 000</w:t>
                  </w:r>
                </w:p>
              </w:tc>
              <w:tc>
                <w:tcPr>
                  <w:tcW w:w="690" w:type="pct"/>
                  <w:gridSpan w:val="2"/>
                  <w:shd w:val="clear" w:color="auto" w:fill="auto"/>
                </w:tcPr>
                <w:p w14:paraId="2E747F31" w14:textId="3F6E8EF7" w:rsidR="008C661F" w:rsidRPr="00C87D70" w:rsidRDefault="008C661F" w:rsidP="00B52184">
                  <w:pPr>
                    <w:pStyle w:val="TableBodyText"/>
                    <w:ind w:left="0"/>
                    <w:jc w:val="center"/>
                  </w:pPr>
                  <w:r w:rsidRPr="00FA6349">
                    <w:t>Buildings: $10 000</w:t>
                  </w:r>
                  <w:r>
                    <w:t xml:space="preserve">; Land: $1; </w:t>
                  </w:r>
                  <w:r w:rsidRPr="00604C4B">
                    <w:t xml:space="preserve">Plant and equipment: </w:t>
                  </w:r>
                  <w:r>
                    <w:t>$5 </w:t>
                  </w:r>
                  <w:r w:rsidRPr="00604C4B">
                    <w:t>000</w:t>
                  </w:r>
                  <w:r>
                    <w:t xml:space="preserve">; </w:t>
                  </w:r>
                  <w:r w:rsidRPr="004C48F1">
                    <w:t>Right</w:t>
                  </w:r>
                  <w:r w:rsidR="0021769C">
                    <w:t>–</w:t>
                  </w:r>
                  <w:r w:rsidRPr="004C48F1">
                    <w:t>of</w:t>
                  </w:r>
                  <w:r w:rsidR="0021769C">
                    <w:t>–</w:t>
                  </w:r>
                  <w:r w:rsidRPr="004C48F1">
                    <w:t>use assets</w:t>
                  </w:r>
                  <w:r w:rsidRPr="00604C4B">
                    <w:t>: $1</w:t>
                  </w:r>
                  <w:r>
                    <w:t>0 </w:t>
                  </w:r>
                  <w:r w:rsidRPr="00604C4B">
                    <w:t>000</w:t>
                  </w:r>
                  <w:r>
                    <w:t>; Computer software: $100 </w:t>
                  </w:r>
                  <w:r w:rsidRPr="00604C4B">
                    <w:t>000</w:t>
                  </w:r>
                </w:p>
              </w:tc>
              <w:tc>
                <w:tcPr>
                  <w:tcW w:w="471" w:type="pct"/>
                  <w:gridSpan w:val="3"/>
                </w:tcPr>
                <w:p w14:paraId="464055D7" w14:textId="01F630AA" w:rsidR="008C661F" w:rsidRPr="00C87D70" w:rsidRDefault="008C661F" w:rsidP="00B52184">
                  <w:pPr>
                    <w:pStyle w:val="TableBodyText"/>
                    <w:jc w:val="center"/>
                  </w:pPr>
                  <w:r w:rsidRPr="00FA6349">
                    <w:t>$5 000</w:t>
                  </w:r>
                </w:p>
              </w:tc>
              <w:tc>
                <w:tcPr>
                  <w:tcW w:w="562" w:type="pct"/>
                  <w:gridSpan w:val="4"/>
                </w:tcPr>
                <w:p w14:paraId="2D29E72F" w14:textId="5CB5899A" w:rsidR="008C661F" w:rsidRPr="00C87D70" w:rsidRDefault="008C661F" w:rsidP="00B52184">
                  <w:pPr>
                    <w:pStyle w:val="TableBodyText"/>
                    <w:jc w:val="center"/>
                  </w:pPr>
                  <w:r w:rsidRPr="00FA6349">
                    <w:t>$5 000</w:t>
                  </w:r>
                </w:p>
              </w:tc>
              <w:tc>
                <w:tcPr>
                  <w:tcW w:w="561" w:type="pct"/>
                  <w:gridSpan w:val="3"/>
                </w:tcPr>
                <w:p w14:paraId="3B96B3E4" w14:textId="3B6CBA5B" w:rsidR="008C661F" w:rsidRPr="00C87D70" w:rsidRDefault="008C661F" w:rsidP="00B52184">
                  <w:pPr>
                    <w:pStyle w:val="TableBodyText"/>
                    <w:jc w:val="center"/>
                  </w:pPr>
                  <w:r w:rsidRPr="00FA6349">
                    <w:t>$10 000</w:t>
                  </w:r>
                </w:p>
              </w:tc>
              <w:tc>
                <w:tcPr>
                  <w:tcW w:w="567" w:type="pct"/>
                  <w:gridSpan w:val="5"/>
                </w:tcPr>
                <w:p w14:paraId="1F80060D" w14:textId="77777777" w:rsidR="008C661F" w:rsidRPr="00C87D70" w:rsidRDefault="008C661F" w:rsidP="00B52184">
                  <w:pPr>
                    <w:pStyle w:val="TableBodyText"/>
                    <w:jc w:val="center"/>
                  </w:pPr>
                  <w:r w:rsidRPr="00FA6349">
                    <w:t>$2 000</w:t>
                  </w:r>
                </w:p>
              </w:tc>
              <w:tc>
                <w:tcPr>
                  <w:tcW w:w="555" w:type="pct"/>
                  <w:gridSpan w:val="3"/>
                </w:tcPr>
                <w:p w14:paraId="0D74DA7F" w14:textId="77777777" w:rsidR="008C661F" w:rsidRPr="00C87D70" w:rsidRDefault="008C661F" w:rsidP="00B52184">
                  <w:pPr>
                    <w:pStyle w:val="TableBodyText"/>
                    <w:jc w:val="center"/>
                  </w:pPr>
                  <w:r>
                    <w:t>Buildings: $10 </w:t>
                  </w:r>
                  <w:r w:rsidRPr="00FA6349">
                    <w:t>000</w:t>
                  </w:r>
                  <w:r>
                    <w:t xml:space="preserve">; Land </w:t>
                  </w:r>
                  <w:r w:rsidRPr="007D75AD">
                    <w:t>$10 000 (</w:t>
                  </w:r>
                  <w:r>
                    <w:t xml:space="preserve">PH); </w:t>
                  </w:r>
                  <w:r w:rsidRPr="00604C4B">
                    <w:t>Plant and equipment: $</w:t>
                  </w:r>
                  <w:r>
                    <w:t>10 </w:t>
                  </w:r>
                  <w:r w:rsidRPr="00604C4B">
                    <w:t>000</w:t>
                  </w:r>
                </w:p>
              </w:tc>
            </w:tr>
            <w:tr w:rsidR="008C661F" w:rsidRPr="00C87D70" w14:paraId="68C5A784" w14:textId="77777777" w:rsidTr="00055DB8">
              <w:tc>
                <w:tcPr>
                  <w:tcW w:w="2193" w:type="pct"/>
                  <w:gridSpan w:val="5"/>
                  <w:shd w:val="clear" w:color="auto" w:fill="auto"/>
                </w:tcPr>
                <w:p w14:paraId="27608EBC" w14:textId="77777777" w:rsidR="008C661F" w:rsidRPr="00604C4B" w:rsidRDefault="008C661F" w:rsidP="00055DB8">
                  <w:pPr>
                    <w:pStyle w:val="TableBodyText"/>
                    <w:jc w:val="left"/>
                    <w:rPr>
                      <w:b/>
                    </w:rPr>
                  </w:pPr>
                  <w:r w:rsidRPr="00604C4B">
                    <w:rPr>
                      <w:b/>
                    </w:rPr>
                    <w:t>Assets capitalised individually or in groups</w:t>
                  </w:r>
                </w:p>
              </w:tc>
              <w:tc>
                <w:tcPr>
                  <w:tcW w:w="562" w:type="pct"/>
                  <w:gridSpan w:val="4"/>
                </w:tcPr>
                <w:p w14:paraId="3E5089A1" w14:textId="77777777" w:rsidR="008C661F" w:rsidRPr="00C87D70" w:rsidRDefault="008C661F" w:rsidP="00055DB8">
                  <w:pPr>
                    <w:pStyle w:val="TableBodyText"/>
                    <w:jc w:val="left"/>
                  </w:pPr>
                </w:p>
              </w:tc>
              <w:tc>
                <w:tcPr>
                  <w:tcW w:w="562" w:type="pct"/>
                  <w:gridSpan w:val="4"/>
                </w:tcPr>
                <w:p w14:paraId="32BCBC55" w14:textId="77777777" w:rsidR="008C661F" w:rsidRPr="00C87D70" w:rsidRDefault="008C661F" w:rsidP="00055DB8">
                  <w:pPr>
                    <w:pStyle w:val="TableBodyText"/>
                    <w:jc w:val="left"/>
                  </w:pPr>
                </w:p>
              </w:tc>
              <w:tc>
                <w:tcPr>
                  <w:tcW w:w="561" w:type="pct"/>
                  <w:gridSpan w:val="3"/>
                </w:tcPr>
                <w:p w14:paraId="0D91D05D" w14:textId="77777777" w:rsidR="008C661F" w:rsidRPr="00C87D70" w:rsidRDefault="008C661F" w:rsidP="00055DB8">
                  <w:pPr>
                    <w:pStyle w:val="TableBodyText"/>
                    <w:jc w:val="left"/>
                  </w:pPr>
                </w:p>
              </w:tc>
              <w:tc>
                <w:tcPr>
                  <w:tcW w:w="564" w:type="pct"/>
                  <w:gridSpan w:val="4"/>
                </w:tcPr>
                <w:p w14:paraId="2DF33E34" w14:textId="77777777" w:rsidR="008C661F" w:rsidRPr="00C87D70" w:rsidRDefault="008C661F" w:rsidP="00055DB8">
                  <w:pPr>
                    <w:pStyle w:val="TableBodyText"/>
                    <w:jc w:val="left"/>
                  </w:pPr>
                </w:p>
              </w:tc>
              <w:tc>
                <w:tcPr>
                  <w:tcW w:w="558" w:type="pct"/>
                  <w:gridSpan w:val="4"/>
                </w:tcPr>
                <w:p w14:paraId="67A61021" w14:textId="77777777" w:rsidR="008C661F" w:rsidRPr="00C87D70" w:rsidRDefault="008C661F" w:rsidP="00055DB8">
                  <w:pPr>
                    <w:pStyle w:val="TableBodyText"/>
                    <w:jc w:val="left"/>
                  </w:pPr>
                </w:p>
              </w:tc>
            </w:tr>
            <w:tr w:rsidR="008C661F" w:rsidRPr="00C87D70" w14:paraId="7E4AD467" w14:textId="77777777" w:rsidTr="00055DB8">
              <w:tc>
                <w:tcPr>
                  <w:tcW w:w="507" w:type="pct"/>
                  <w:tcBorders>
                    <w:bottom w:val="single" w:sz="6" w:space="0" w:color="BFBFBF" w:themeColor="background1" w:themeShade="BF"/>
                  </w:tcBorders>
                  <w:shd w:val="clear" w:color="auto" w:fill="auto"/>
                </w:tcPr>
                <w:p w14:paraId="01B85184" w14:textId="77777777" w:rsidR="008C661F" w:rsidRPr="00C87D70" w:rsidRDefault="008C661F" w:rsidP="00055DB8">
                  <w:pPr>
                    <w:pStyle w:val="TableBodyText"/>
                    <w:jc w:val="left"/>
                  </w:pPr>
                </w:p>
              </w:tc>
              <w:tc>
                <w:tcPr>
                  <w:tcW w:w="449" w:type="pct"/>
                  <w:gridSpan w:val="2"/>
                  <w:tcBorders>
                    <w:bottom w:val="single" w:sz="6" w:space="0" w:color="BFBFBF" w:themeColor="background1" w:themeShade="BF"/>
                  </w:tcBorders>
                </w:tcPr>
                <w:p w14:paraId="171BF146" w14:textId="77777777" w:rsidR="008C661F" w:rsidRPr="00C87D70" w:rsidRDefault="008C661F" w:rsidP="00B52184">
                  <w:pPr>
                    <w:jc w:val="center"/>
                    <w:rPr>
                      <w:rFonts w:ascii="Arial" w:hAnsi="Arial"/>
                      <w:sz w:val="18"/>
                      <w:szCs w:val="20"/>
                    </w:rPr>
                  </w:pPr>
                  <w:r w:rsidRPr="00C87D70">
                    <w:rPr>
                      <w:rFonts w:ascii="Arial" w:hAnsi="Arial"/>
                      <w:sz w:val="18"/>
                      <w:szCs w:val="20"/>
                    </w:rPr>
                    <w:t>Individually</w:t>
                  </w:r>
                </w:p>
              </w:tc>
              <w:tc>
                <w:tcPr>
                  <w:tcW w:w="638" w:type="pct"/>
                  <w:tcBorders>
                    <w:bottom w:val="single" w:sz="6" w:space="0" w:color="BFBFBF" w:themeColor="background1" w:themeShade="BF"/>
                  </w:tcBorders>
                  <w:shd w:val="clear" w:color="auto" w:fill="auto"/>
                </w:tcPr>
                <w:p w14:paraId="2603C660"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c>
                <w:tcPr>
                  <w:tcW w:w="599" w:type="pct"/>
                  <w:tcBorders>
                    <w:bottom w:val="single" w:sz="6" w:space="0" w:color="BFBFBF" w:themeColor="background1" w:themeShade="BF"/>
                  </w:tcBorders>
                  <w:shd w:val="clear" w:color="auto" w:fill="auto"/>
                </w:tcPr>
                <w:p w14:paraId="79DE2757"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c>
                <w:tcPr>
                  <w:tcW w:w="562" w:type="pct"/>
                  <w:gridSpan w:val="4"/>
                  <w:tcBorders>
                    <w:bottom w:val="single" w:sz="6" w:space="0" w:color="BFBFBF" w:themeColor="background1" w:themeShade="BF"/>
                  </w:tcBorders>
                </w:tcPr>
                <w:p w14:paraId="5A9825F8"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c>
                <w:tcPr>
                  <w:tcW w:w="562" w:type="pct"/>
                  <w:gridSpan w:val="4"/>
                  <w:tcBorders>
                    <w:bottom w:val="single" w:sz="6" w:space="0" w:color="BFBFBF" w:themeColor="background1" w:themeShade="BF"/>
                  </w:tcBorders>
                </w:tcPr>
                <w:p w14:paraId="19F5948E"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c>
                <w:tcPr>
                  <w:tcW w:w="561" w:type="pct"/>
                  <w:gridSpan w:val="3"/>
                  <w:tcBorders>
                    <w:bottom w:val="single" w:sz="6" w:space="0" w:color="BFBFBF" w:themeColor="background1" w:themeShade="BF"/>
                  </w:tcBorders>
                </w:tcPr>
                <w:p w14:paraId="7D50CFEB"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c>
                <w:tcPr>
                  <w:tcW w:w="564" w:type="pct"/>
                  <w:gridSpan w:val="4"/>
                  <w:tcBorders>
                    <w:bottom w:val="single" w:sz="6" w:space="0" w:color="BFBFBF" w:themeColor="background1" w:themeShade="BF"/>
                  </w:tcBorders>
                </w:tcPr>
                <w:p w14:paraId="20455D63"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c>
                <w:tcPr>
                  <w:tcW w:w="558" w:type="pct"/>
                  <w:gridSpan w:val="4"/>
                  <w:tcBorders>
                    <w:bottom w:val="single" w:sz="6" w:space="0" w:color="BFBFBF" w:themeColor="background1" w:themeShade="BF"/>
                  </w:tcBorders>
                </w:tcPr>
                <w:p w14:paraId="201C71EA" w14:textId="77777777" w:rsidR="008C661F" w:rsidRPr="00C87D70" w:rsidRDefault="008C661F" w:rsidP="00B52184">
                  <w:pPr>
                    <w:jc w:val="center"/>
                    <w:rPr>
                      <w:rFonts w:ascii="Arial" w:hAnsi="Arial"/>
                      <w:sz w:val="18"/>
                      <w:szCs w:val="20"/>
                    </w:rPr>
                  </w:pPr>
                  <w:r w:rsidRPr="00914F6D">
                    <w:rPr>
                      <w:rFonts w:ascii="Arial" w:hAnsi="Arial"/>
                      <w:sz w:val="18"/>
                      <w:szCs w:val="20"/>
                    </w:rPr>
                    <w:t>Individually</w:t>
                  </w:r>
                </w:p>
              </w:tc>
            </w:tr>
          </w:tbl>
          <w:p w14:paraId="17C36EAE" w14:textId="77777777" w:rsidR="008C661F" w:rsidRDefault="008C661F" w:rsidP="00055DB8">
            <w:pPr>
              <w:pStyle w:val="Box"/>
            </w:pPr>
          </w:p>
        </w:tc>
      </w:tr>
      <w:tr w:rsidR="008C661F" w14:paraId="53F97236" w14:textId="77777777" w:rsidTr="00055DB8">
        <w:tc>
          <w:tcPr>
            <w:tcW w:w="5000" w:type="pct"/>
            <w:tcBorders>
              <w:top w:val="nil"/>
              <w:left w:val="nil"/>
              <w:bottom w:val="nil"/>
              <w:right w:val="nil"/>
            </w:tcBorders>
            <w:shd w:val="clear" w:color="auto" w:fill="auto"/>
          </w:tcPr>
          <w:p w14:paraId="3B234ACD" w14:textId="77777777" w:rsidR="008C661F" w:rsidRDefault="008C661F" w:rsidP="00055DB8">
            <w:pPr>
              <w:pStyle w:val="Note"/>
              <w:rPr>
                <w:i/>
              </w:rPr>
            </w:pPr>
            <w:r w:rsidRPr="008E77FE">
              <w:rPr>
                <w:rStyle w:val="NoteLabel"/>
              </w:rPr>
              <w:t>a</w:t>
            </w:r>
            <w:r>
              <w:rPr>
                <w:rStyle w:val="NoteLabel"/>
              </w:rPr>
              <w:t> </w:t>
            </w:r>
            <w:r w:rsidRPr="009E6F57">
              <w:rPr>
                <w:szCs w:val="18"/>
              </w:rPr>
              <w:t xml:space="preserve">.. Not applicable. </w:t>
            </w:r>
            <w:r>
              <w:rPr>
                <w:rStyle w:val="NoteLabel"/>
              </w:rPr>
              <w:t>b</w:t>
            </w:r>
            <w:r>
              <w:t> </w:t>
            </w:r>
            <w:r w:rsidRPr="008836F5">
              <w:t>Market value is the current (net) value market selling price or exchange value</w:t>
            </w:r>
            <w:r>
              <w:t xml:space="preserve">. </w:t>
            </w:r>
            <w:r>
              <w:rPr>
                <w:rStyle w:val="NoteLabel"/>
              </w:rPr>
              <w:t>c </w:t>
            </w:r>
            <w:r w:rsidRPr="008836F5">
              <w:t>Victoria revalues properties every 5 years by kerbside inspection, with the most rece</w:t>
            </w:r>
            <w:r>
              <w:t>nt revaluation completed in 2018</w:t>
            </w:r>
            <w:r>
              <w:noBreakHyphen/>
            </w:r>
            <w:r w:rsidRPr="008836F5">
              <w:t>1</w:t>
            </w:r>
            <w:r>
              <w:t>9</w:t>
            </w:r>
            <w:r w:rsidRPr="008836F5">
              <w:t xml:space="preserve">. In interim years, asset value movements are assessed based on indices </w:t>
            </w:r>
            <w:r>
              <w:t>—</w:t>
            </w:r>
            <w:r w:rsidRPr="008836F5">
              <w:t xml:space="preserve"> if foun</w:t>
            </w:r>
            <w:r>
              <w:t>d to be material (&gt;10 per cent</w:t>
            </w:r>
            <w:r w:rsidRPr="008836F5">
              <w:t xml:space="preserve">), a Managerial Revaluation </w:t>
            </w:r>
            <w:r>
              <w:t xml:space="preserve">is </w:t>
            </w:r>
            <w:r w:rsidRPr="008836F5">
              <w:t>undertaken, and</w:t>
            </w:r>
            <w:r>
              <w:t xml:space="preserve">, </w:t>
            </w:r>
            <w:r w:rsidRPr="008836F5">
              <w:t>if found to be exceptionally material (</w:t>
            </w:r>
            <w:r>
              <w:t>&gt;=</w:t>
            </w:r>
            <w:r w:rsidRPr="008836F5">
              <w:t xml:space="preserve"> 40 per cent), an Interim Valuation </w:t>
            </w:r>
            <w:r>
              <w:t xml:space="preserve">is </w:t>
            </w:r>
            <w:r w:rsidRPr="008836F5">
              <w:t xml:space="preserve">undertaken. </w:t>
            </w:r>
            <w:r>
              <w:rPr>
                <w:rStyle w:val="NoteLabel"/>
              </w:rPr>
              <w:t>d </w:t>
            </w:r>
            <w:r>
              <w:t>U</w:t>
            </w:r>
            <w:r w:rsidRPr="008836F5">
              <w:t>sef</w:t>
            </w:r>
            <w:r>
              <w:t xml:space="preserve">ul asset life for leased assets: </w:t>
            </w:r>
            <w:r w:rsidRPr="008836F5">
              <w:t>40 years (2.5 per cent straight line depreciation).</w:t>
            </w:r>
            <w:r>
              <w:t xml:space="preserve"> </w:t>
            </w:r>
            <w:r>
              <w:rPr>
                <w:rStyle w:val="NoteLabel"/>
              </w:rPr>
              <w:t>e </w:t>
            </w:r>
            <w:r w:rsidRPr="008836F5">
              <w:t>SOMIH dwellings are in remote areas on lan</w:t>
            </w:r>
            <w:r>
              <w:t>d not owned by government.</w:t>
            </w:r>
            <w:r>
              <w:tab/>
            </w:r>
            <w:r>
              <w:tab/>
            </w:r>
            <w:r>
              <w:tab/>
            </w:r>
            <w:r>
              <w:tab/>
            </w:r>
          </w:p>
        </w:tc>
      </w:tr>
      <w:tr w:rsidR="008C661F" w14:paraId="378C5AC0" w14:textId="77777777" w:rsidTr="00055DB8">
        <w:tc>
          <w:tcPr>
            <w:tcW w:w="5000" w:type="pct"/>
            <w:tcBorders>
              <w:top w:val="nil"/>
              <w:left w:val="nil"/>
              <w:bottom w:val="nil"/>
              <w:right w:val="nil"/>
            </w:tcBorders>
            <w:shd w:val="clear" w:color="auto" w:fill="auto"/>
          </w:tcPr>
          <w:p w14:paraId="239F765C" w14:textId="77777777" w:rsidR="008C661F" w:rsidRDefault="008C661F" w:rsidP="00055DB8">
            <w:pPr>
              <w:pStyle w:val="Source"/>
            </w:pPr>
            <w:r>
              <w:rPr>
                <w:i/>
              </w:rPr>
              <w:t>Source</w:t>
            </w:r>
            <w:r w:rsidRPr="00167F06">
              <w:t xml:space="preserve">: </w:t>
            </w:r>
            <w:r w:rsidRPr="008836F5">
              <w:t>State and Territory gov</w:t>
            </w:r>
            <w:r>
              <w:t>ernments (unpublished).</w:t>
            </w:r>
          </w:p>
        </w:tc>
      </w:tr>
      <w:tr w:rsidR="008C661F" w14:paraId="0530E5AF" w14:textId="77777777" w:rsidTr="00334670">
        <w:tc>
          <w:tcPr>
            <w:tcW w:w="5000" w:type="pct"/>
            <w:tcBorders>
              <w:top w:val="nil"/>
              <w:left w:val="nil"/>
              <w:bottom w:val="single" w:sz="6" w:space="0" w:color="78A22F"/>
              <w:right w:val="nil"/>
            </w:tcBorders>
            <w:shd w:val="clear" w:color="auto" w:fill="auto"/>
          </w:tcPr>
          <w:p w14:paraId="1E823B7D" w14:textId="77777777" w:rsidR="008C661F" w:rsidRDefault="008C661F" w:rsidP="00055DB8">
            <w:pPr>
              <w:pStyle w:val="Box"/>
              <w:spacing w:before="0" w:line="120" w:lineRule="exact"/>
            </w:pPr>
          </w:p>
        </w:tc>
      </w:tr>
      <w:tr w:rsidR="008C661F" w:rsidRPr="000863A5" w14:paraId="44FB5FBC" w14:textId="77777777" w:rsidTr="00334670">
        <w:tc>
          <w:tcPr>
            <w:tcW w:w="5000" w:type="pct"/>
            <w:tcBorders>
              <w:top w:val="single" w:sz="6" w:space="0" w:color="78A22F"/>
              <w:left w:val="nil"/>
              <w:bottom w:val="nil"/>
              <w:right w:val="nil"/>
            </w:tcBorders>
          </w:tcPr>
          <w:p w14:paraId="3FE811B0" w14:textId="77777777" w:rsidR="008C661F" w:rsidRPr="00626D32" w:rsidRDefault="008C661F" w:rsidP="00055DB8">
            <w:pPr>
              <w:pStyle w:val="BoxSpaceBelow"/>
            </w:pPr>
          </w:p>
        </w:tc>
      </w:tr>
    </w:tbl>
    <w:p w14:paraId="1DF347B1" w14:textId="77777777" w:rsidR="00334670" w:rsidRDefault="00334670">
      <w:pPr>
        <w:sectPr w:rsidR="00334670" w:rsidSect="00055DB8">
          <w:headerReference w:type="even" r:id="rId17"/>
          <w:headerReference w:type="default" r:id="rId18"/>
          <w:footerReference w:type="even" r:id="rId19"/>
          <w:footerReference w:type="default" r:id="rId20"/>
          <w:pgSz w:w="16840" w:h="11907" w:orient="landscape" w:code="9"/>
          <w:pgMar w:top="1814" w:right="1985" w:bottom="1304" w:left="1247" w:header="1701" w:footer="397" w:gutter="0"/>
          <w:pgNumType w:chapSep="period"/>
          <w:cols w:space="720"/>
          <w:docGrid w:linePitch="326"/>
        </w:sectPr>
      </w:pPr>
    </w:p>
    <w:tbl>
      <w:tblPr>
        <w:tblW w:w="4999"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7"/>
      </w:tblGrid>
      <w:tr w:rsidR="005911FB" w14:paraId="73D24DEC" w14:textId="77777777" w:rsidTr="00334670">
        <w:trPr>
          <w:tblHeader/>
        </w:trPr>
        <w:tc>
          <w:tcPr>
            <w:tcW w:w="5000" w:type="pct"/>
            <w:tcBorders>
              <w:top w:val="single" w:sz="6" w:space="0" w:color="78A22F" w:themeColor="accent1"/>
              <w:left w:val="nil"/>
              <w:bottom w:val="nil"/>
              <w:right w:val="nil"/>
            </w:tcBorders>
            <w:shd w:val="clear" w:color="auto" w:fill="auto"/>
          </w:tcPr>
          <w:p w14:paraId="6F2EDC9C" w14:textId="67BD92F2" w:rsidR="0044614F" w:rsidRPr="007B532E" w:rsidRDefault="005911FB" w:rsidP="007B532E">
            <w:pPr>
              <w:pStyle w:val="TableTitle"/>
              <w:rPr>
                <w:rStyle w:val="DraftingNote"/>
                <w:b/>
                <w:color w:val="auto"/>
                <w:u w:val="none"/>
              </w:rPr>
            </w:pPr>
            <w:r>
              <w:rPr>
                <w:b w:val="0"/>
              </w:rPr>
              <w:lastRenderedPageBreak/>
              <w:t xml:space="preserve">Table </w:t>
            </w:r>
            <w:r w:rsidR="00A16D87">
              <w:rPr>
                <w:b w:val="0"/>
              </w:rPr>
              <w:t>18</w:t>
            </w:r>
            <w:r w:rsidR="00FD437C">
              <w:rPr>
                <w:b w:val="0"/>
              </w:rPr>
              <w:t>.5</w:t>
            </w:r>
            <w:r>
              <w:tab/>
            </w:r>
            <w:r w:rsidR="00944839" w:rsidRPr="00944839">
              <w:t xml:space="preserve">State and Territory programs included in the community housing data collection, </w:t>
            </w:r>
            <w:r w:rsidR="00E60CC8" w:rsidRPr="000D0CDB">
              <w:t>20</w:t>
            </w:r>
            <w:r w:rsidR="007B532E" w:rsidRPr="000D0CDB">
              <w:t>20</w:t>
            </w:r>
            <w:r w:rsidR="0031255D" w:rsidRPr="000D0CDB">
              <w:noBreakHyphen/>
            </w:r>
            <w:r w:rsidR="00E60CC8" w:rsidRPr="000D0CDB">
              <w:t>2</w:t>
            </w:r>
            <w:r w:rsidR="007B532E" w:rsidRPr="000D0CDB">
              <w:t>1</w:t>
            </w:r>
          </w:p>
        </w:tc>
      </w:tr>
      <w:tr w:rsidR="005911FB" w14:paraId="57738B3C" w14:textId="77777777" w:rsidTr="0033467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34"/>
              <w:gridCol w:w="7369"/>
            </w:tblGrid>
            <w:tr w:rsidR="00944839" w:rsidRPr="004C48F1" w14:paraId="274670A5" w14:textId="77777777" w:rsidTr="676085C9">
              <w:trPr>
                <w:tblHeader/>
              </w:trPr>
              <w:tc>
                <w:tcPr>
                  <w:tcW w:w="667"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6043D4F" w14:textId="77777777" w:rsidR="00944839" w:rsidRPr="004C48F1" w:rsidRDefault="00944839" w:rsidP="00845342">
                  <w:pPr>
                    <w:pStyle w:val="TableColumnHeading"/>
                    <w:jc w:val="left"/>
                  </w:pPr>
                  <w:r w:rsidRPr="004C48F1">
                    <w:t>Jurisdiction</w:t>
                  </w:r>
                </w:p>
              </w:tc>
              <w:tc>
                <w:tcPr>
                  <w:tcW w:w="4333" w:type="pct"/>
                  <w:tcBorders>
                    <w:top w:val="single" w:sz="6" w:space="0" w:color="BFBFBF" w:themeColor="background1" w:themeShade="BF"/>
                    <w:bottom w:val="single" w:sz="6" w:space="0" w:color="BFBFBF" w:themeColor="background1" w:themeShade="BF"/>
                  </w:tcBorders>
                </w:tcPr>
                <w:p w14:paraId="2651B2D6" w14:textId="2DA87DEA" w:rsidR="00944839" w:rsidRPr="004C48F1" w:rsidRDefault="00944839" w:rsidP="0030789B">
                  <w:pPr>
                    <w:pStyle w:val="TableColumnHeading"/>
                    <w:ind w:right="28"/>
                    <w:jc w:val="left"/>
                  </w:pPr>
                  <w:r w:rsidRPr="004C48F1">
                    <w:t>Program</w:t>
                  </w:r>
                </w:p>
              </w:tc>
            </w:tr>
            <w:tr w:rsidR="00944839" w:rsidRPr="004C48F1" w14:paraId="22E7E2F2" w14:textId="77777777" w:rsidTr="676085C9">
              <w:tc>
                <w:tcPr>
                  <w:tcW w:w="667" w:type="pct"/>
                  <w:tcBorders>
                    <w:top w:val="single" w:sz="6" w:space="0" w:color="BFBFBF" w:themeColor="background1" w:themeShade="BF"/>
                  </w:tcBorders>
                  <w:shd w:val="clear" w:color="auto" w:fill="FFFFFF" w:themeFill="background1"/>
                </w:tcPr>
                <w:p w14:paraId="545C268F" w14:textId="5678189C" w:rsidR="00944839" w:rsidRPr="004C48F1" w:rsidRDefault="00944839" w:rsidP="00845342">
                  <w:pPr>
                    <w:pStyle w:val="TableUnitsRow"/>
                    <w:jc w:val="left"/>
                  </w:pPr>
                  <w:r w:rsidRPr="004C48F1">
                    <w:t>NSW</w:t>
                  </w:r>
                </w:p>
              </w:tc>
              <w:tc>
                <w:tcPr>
                  <w:tcW w:w="4333" w:type="pct"/>
                  <w:tcBorders>
                    <w:top w:val="single" w:sz="6" w:space="0" w:color="BFBFBF" w:themeColor="background1" w:themeShade="BF"/>
                  </w:tcBorders>
                  <w:shd w:val="clear" w:color="auto" w:fill="auto"/>
                </w:tcPr>
                <w:p w14:paraId="48849F81" w14:textId="78807FD0" w:rsidR="00944839" w:rsidRPr="004C48F1" w:rsidRDefault="0089490A" w:rsidP="0030789B">
                  <w:pPr>
                    <w:pStyle w:val="TableUnitsRow"/>
                    <w:ind w:right="28"/>
                    <w:jc w:val="both"/>
                  </w:pPr>
                  <w:r w:rsidRPr="004C48F1">
                    <w:t xml:space="preserve">All dwellings under management of a community housing organisation </w:t>
                  </w:r>
                  <w:r w:rsidR="00E60CC8" w:rsidRPr="004C48F1">
                    <w:t xml:space="preserve">(CHO) </w:t>
                  </w:r>
                  <w:r w:rsidRPr="004C48F1">
                    <w:t>where:</w:t>
                  </w:r>
                </w:p>
              </w:tc>
            </w:tr>
            <w:tr w:rsidR="00944839" w:rsidRPr="004C48F1" w14:paraId="49404BF2" w14:textId="77777777" w:rsidTr="676085C9">
              <w:tc>
                <w:tcPr>
                  <w:tcW w:w="667" w:type="pct"/>
                </w:tcPr>
                <w:p w14:paraId="34FA118A" w14:textId="77777777" w:rsidR="00944839" w:rsidRPr="004C48F1" w:rsidRDefault="00944839" w:rsidP="00845342">
                  <w:pPr>
                    <w:pStyle w:val="TableBodyText"/>
                    <w:jc w:val="left"/>
                  </w:pPr>
                </w:p>
              </w:tc>
              <w:tc>
                <w:tcPr>
                  <w:tcW w:w="4333" w:type="pct"/>
                  <w:shd w:val="clear" w:color="auto" w:fill="auto"/>
                </w:tcPr>
                <w:p w14:paraId="48AA5309" w14:textId="283A1413" w:rsidR="00944839" w:rsidRPr="004C48F1" w:rsidRDefault="64B934A5" w:rsidP="00E60CC8">
                  <w:pPr>
                    <w:pStyle w:val="TableBullet"/>
                  </w:pPr>
                  <w:r>
                    <w:t xml:space="preserve">the tenancy management is commissioned by the NSW </w:t>
                  </w:r>
                  <w:r w:rsidR="1E739BCE" w:rsidRPr="676085C9">
                    <w:rPr>
                      <w:rFonts w:asciiTheme="minorHAnsi" w:hAnsiTheme="minorHAnsi" w:cstheme="minorBidi"/>
                      <w:sz w:val="20"/>
                    </w:rPr>
                    <w:t xml:space="preserve">Department of </w:t>
                  </w:r>
                  <w:r w:rsidR="64E6B9F3">
                    <w:t xml:space="preserve">Community </w:t>
                  </w:r>
                  <w:r w:rsidR="1E739BCE" w:rsidRPr="676085C9">
                    <w:rPr>
                      <w:rFonts w:asciiTheme="minorHAnsi" w:hAnsiTheme="minorHAnsi" w:cstheme="minorBidi"/>
                      <w:sz w:val="20"/>
                    </w:rPr>
                    <w:t xml:space="preserve">and Justice (DCJ) </w:t>
                  </w:r>
                  <w:r>
                    <w:t>Commissioning Division.</w:t>
                  </w:r>
                </w:p>
              </w:tc>
            </w:tr>
            <w:tr w:rsidR="00944839" w:rsidRPr="004C48F1" w14:paraId="57A48B9C" w14:textId="77777777" w:rsidTr="676085C9">
              <w:tc>
                <w:tcPr>
                  <w:tcW w:w="667" w:type="pct"/>
                  <w:shd w:val="clear" w:color="auto" w:fill="auto"/>
                </w:tcPr>
                <w:p w14:paraId="42AE6E49" w14:textId="77777777" w:rsidR="00944839" w:rsidRPr="004C48F1" w:rsidRDefault="00944839" w:rsidP="00845342">
                  <w:pPr>
                    <w:pStyle w:val="TableBodyText"/>
                    <w:jc w:val="left"/>
                  </w:pPr>
                </w:p>
              </w:tc>
              <w:tc>
                <w:tcPr>
                  <w:tcW w:w="4333" w:type="pct"/>
                  <w:shd w:val="clear" w:color="auto" w:fill="auto"/>
                </w:tcPr>
                <w:p w14:paraId="5EE022D1" w14:textId="04A26837" w:rsidR="00944839" w:rsidRPr="004C48F1" w:rsidRDefault="003323EC" w:rsidP="0030789B">
                  <w:pPr>
                    <w:pStyle w:val="TableBodyText"/>
                    <w:ind w:right="28"/>
                    <w:jc w:val="both"/>
                  </w:pPr>
                  <w:r w:rsidRPr="004C48F1">
                    <w:t>This includes the following housing assistance types:</w:t>
                  </w:r>
                </w:p>
              </w:tc>
            </w:tr>
            <w:tr w:rsidR="00944839" w:rsidRPr="004C48F1" w14:paraId="2E27C826" w14:textId="77777777" w:rsidTr="676085C9">
              <w:tc>
                <w:tcPr>
                  <w:tcW w:w="667" w:type="pct"/>
                  <w:shd w:val="clear" w:color="auto" w:fill="auto"/>
                </w:tcPr>
                <w:p w14:paraId="5841AB9B" w14:textId="77777777" w:rsidR="00944839" w:rsidRPr="004C48F1" w:rsidRDefault="00944839" w:rsidP="00944839">
                  <w:pPr>
                    <w:pStyle w:val="TableBodyText"/>
                    <w:jc w:val="left"/>
                  </w:pPr>
                </w:p>
              </w:tc>
              <w:tc>
                <w:tcPr>
                  <w:tcW w:w="4333" w:type="pct"/>
                  <w:shd w:val="clear" w:color="auto" w:fill="auto"/>
                </w:tcPr>
                <w:p w14:paraId="6A61347E" w14:textId="30A2869E" w:rsidR="00944839" w:rsidRPr="004C48F1" w:rsidRDefault="64B934A5" w:rsidP="002E57CE">
                  <w:pPr>
                    <w:pStyle w:val="TableBullet"/>
                  </w:pPr>
                  <w:r>
                    <w:t>Affordable Housing</w:t>
                  </w:r>
                </w:p>
              </w:tc>
            </w:tr>
            <w:tr w:rsidR="00944839" w:rsidRPr="004C48F1" w14:paraId="14527F5E" w14:textId="77777777" w:rsidTr="676085C9">
              <w:tc>
                <w:tcPr>
                  <w:tcW w:w="667" w:type="pct"/>
                  <w:shd w:val="clear" w:color="auto" w:fill="auto"/>
                </w:tcPr>
                <w:p w14:paraId="473635BE" w14:textId="77777777" w:rsidR="00944839" w:rsidRPr="004C48F1" w:rsidRDefault="00944839" w:rsidP="00944839">
                  <w:pPr>
                    <w:pStyle w:val="TableBodyText"/>
                    <w:jc w:val="left"/>
                  </w:pPr>
                </w:p>
              </w:tc>
              <w:tc>
                <w:tcPr>
                  <w:tcW w:w="4333" w:type="pct"/>
                  <w:shd w:val="clear" w:color="auto" w:fill="auto"/>
                </w:tcPr>
                <w:p w14:paraId="05B88EFF" w14:textId="22318ECE" w:rsidR="00944839" w:rsidRPr="004C48F1" w:rsidRDefault="64B934A5" w:rsidP="002E57CE">
                  <w:pPr>
                    <w:pStyle w:val="TableBullet"/>
                  </w:pPr>
                  <w:r w:rsidRPr="004C48F1">
                    <w:t xml:space="preserve">General Social Housing (mainstream </w:t>
                  </w:r>
                  <w:r w:rsidR="656B6D31" w:rsidRPr="004C48F1">
                    <w:t>long</w:t>
                  </w:r>
                  <w:r w:rsidR="0039474C">
                    <w:t>–</w:t>
                  </w:r>
                  <w:r w:rsidR="656B6D31" w:rsidRPr="004C48F1">
                    <w:t>term</w:t>
                  </w:r>
                  <w:r w:rsidRPr="004C48F1">
                    <w:t xml:space="preserve"> housing)</w:t>
                  </w:r>
                </w:p>
              </w:tc>
            </w:tr>
            <w:tr w:rsidR="00944839" w:rsidRPr="004C48F1" w14:paraId="07B57B23" w14:textId="77777777" w:rsidTr="676085C9">
              <w:tc>
                <w:tcPr>
                  <w:tcW w:w="667" w:type="pct"/>
                  <w:shd w:val="clear" w:color="auto" w:fill="auto"/>
                </w:tcPr>
                <w:p w14:paraId="71FDEAFB" w14:textId="77777777" w:rsidR="00944839" w:rsidRPr="004C48F1" w:rsidRDefault="00944839" w:rsidP="00944839">
                  <w:pPr>
                    <w:pStyle w:val="TableBodyText"/>
                    <w:jc w:val="left"/>
                  </w:pPr>
                </w:p>
              </w:tc>
              <w:tc>
                <w:tcPr>
                  <w:tcW w:w="4333" w:type="pct"/>
                  <w:shd w:val="clear" w:color="auto" w:fill="auto"/>
                </w:tcPr>
                <w:p w14:paraId="352C834A" w14:textId="56F7A173" w:rsidR="00944839" w:rsidRPr="004C48F1" w:rsidRDefault="64B934A5" w:rsidP="002E57CE">
                  <w:pPr>
                    <w:pStyle w:val="TableBullet"/>
                  </w:pPr>
                  <w:r w:rsidRPr="004C48F1">
                    <w:t>Transitional housing (</w:t>
                  </w:r>
                  <w:r w:rsidR="3B13FB13" w:rsidRPr="004C48F1">
                    <w:t>medium</w:t>
                  </w:r>
                  <w:r w:rsidR="0039474C">
                    <w:t>–</w:t>
                  </w:r>
                  <w:r w:rsidR="3B13FB13" w:rsidRPr="004C48F1">
                    <w:t>term</w:t>
                  </w:r>
                  <w:r w:rsidRPr="004C48F1">
                    <w:t xml:space="preserve"> housing).</w:t>
                  </w:r>
                </w:p>
              </w:tc>
            </w:tr>
            <w:tr w:rsidR="00944839" w:rsidRPr="004C48F1" w14:paraId="694E368A" w14:textId="77777777" w:rsidTr="676085C9">
              <w:tc>
                <w:tcPr>
                  <w:tcW w:w="667" w:type="pct"/>
                  <w:shd w:val="clear" w:color="auto" w:fill="auto"/>
                </w:tcPr>
                <w:p w14:paraId="5ABA924A" w14:textId="77777777" w:rsidR="00944839" w:rsidRPr="004C48F1" w:rsidRDefault="00944839" w:rsidP="00845342">
                  <w:pPr>
                    <w:pStyle w:val="TableBodyText"/>
                    <w:jc w:val="left"/>
                  </w:pPr>
                </w:p>
              </w:tc>
              <w:tc>
                <w:tcPr>
                  <w:tcW w:w="4333" w:type="pct"/>
                  <w:shd w:val="clear" w:color="auto" w:fill="auto"/>
                </w:tcPr>
                <w:p w14:paraId="428AFE65" w14:textId="2F49C219" w:rsidR="00944839" w:rsidRPr="004C48F1" w:rsidRDefault="003323EC" w:rsidP="0030789B">
                  <w:pPr>
                    <w:pStyle w:val="TableBodyText"/>
                    <w:ind w:right="28"/>
                    <w:jc w:val="both"/>
                    <w:rPr>
                      <w:szCs w:val="18"/>
                    </w:rPr>
                  </w:pPr>
                  <w:r w:rsidRPr="004C48F1">
                    <w:rPr>
                      <w:szCs w:val="18"/>
                    </w:rPr>
                    <w:t>This includes the following housing property sources:</w:t>
                  </w:r>
                </w:p>
              </w:tc>
            </w:tr>
            <w:tr w:rsidR="00944839" w:rsidRPr="004C48F1" w14:paraId="2F14A7E4" w14:textId="77777777" w:rsidTr="676085C9">
              <w:tc>
                <w:tcPr>
                  <w:tcW w:w="667" w:type="pct"/>
                  <w:shd w:val="clear" w:color="auto" w:fill="auto"/>
                </w:tcPr>
                <w:p w14:paraId="788F41C4" w14:textId="77777777" w:rsidR="00944839" w:rsidRPr="004C48F1" w:rsidRDefault="00944839" w:rsidP="00944839">
                  <w:pPr>
                    <w:pStyle w:val="TableBodyText"/>
                    <w:jc w:val="left"/>
                  </w:pPr>
                </w:p>
              </w:tc>
              <w:tc>
                <w:tcPr>
                  <w:tcW w:w="4333" w:type="pct"/>
                  <w:shd w:val="clear" w:color="auto" w:fill="auto"/>
                </w:tcPr>
                <w:p w14:paraId="2ADB0327" w14:textId="548B5228" w:rsidR="00944839" w:rsidRPr="004C48F1" w:rsidRDefault="64B934A5" w:rsidP="002E57CE">
                  <w:pPr>
                    <w:pStyle w:val="TableBullet"/>
                  </w:pPr>
                  <w:r>
                    <w:t>State owned and CHO managed dwellings (including stock transfers);</w:t>
                  </w:r>
                </w:p>
              </w:tc>
            </w:tr>
            <w:tr w:rsidR="00944839" w:rsidRPr="004C48F1" w14:paraId="0372808F" w14:textId="77777777" w:rsidTr="676085C9">
              <w:tc>
                <w:tcPr>
                  <w:tcW w:w="667" w:type="pct"/>
                  <w:shd w:val="clear" w:color="auto" w:fill="auto"/>
                </w:tcPr>
                <w:p w14:paraId="33B19C89" w14:textId="77777777" w:rsidR="00944839" w:rsidRPr="004C48F1" w:rsidRDefault="00944839" w:rsidP="00944839">
                  <w:pPr>
                    <w:pStyle w:val="TableBodyText"/>
                    <w:jc w:val="left"/>
                  </w:pPr>
                </w:p>
              </w:tc>
              <w:tc>
                <w:tcPr>
                  <w:tcW w:w="4333" w:type="pct"/>
                  <w:shd w:val="clear" w:color="auto" w:fill="auto"/>
                </w:tcPr>
                <w:p w14:paraId="3FCF0152" w14:textId="2635EB0A" w:rsidR="00944839" w:rsidRPr="004C48F1" w:rsidRDefault="64B934A5" w:rsidP="002E57CE">
                  <w:pPr>
                    <w:pStyle w:val="TableBullet"/>
                  </w:pPr>
                  <w:r>
                    <w:t>Privately owned dwellings leased by the CHO attracting a state subsidy;</w:t>
                  </w:r>
                </w:p>
              </w:tc>
            </w:tr>
            <w:tr w:rsidR="00944839" w:rsidRPr="004C48F1" w14:paraId="54857557" w14:textId="77777777" w:rsidTr="676085C9">
              <w:tc>
                <w:tcPr>
                  <w:tcW w:w="667" w:type="pct"/>
                  <w:shd w:val="clear" w:color="auto" w:fill="auto"/>
                </w:tcPr>
                <w:p w14:paraId="6255581B" w14:textId="77777777" w:rsidR="00944839" w:rsidRPr="004C48F1" w:rsidRDefault="00944839" w:rsidP="00845342">
                  <w:pPr>
                    <w:pStyle w:val="TableBodyText"/>
                    <w:jc w:val="left"/>
                  </w:pPr>
                </w:p>
              </w:tc>
              <w:tc>
                <w:tcPr>
                  <w:tcW w:w="4333" w:type="pct"/>
                  <w:shd w:val="clear" w:color="auto" w:fill="auto"/>
                </w:tcPr>
                <w:p w14:paraId="7F21F373" w14:textId="0550081D" w:rsidR="00944839" w:rsidRPr="004C48F1" w:rsidRDefault="64B934A5" w:rsidP="00E60CC8">
                  <w:pPr>
                    <w:pStyle w:val="TableBullet"/>
                  </w:pPr>
                  <w:r>
                    <w:t>Dwellings owned by the CHO where vested to the CHO by the state, acquired through leveraging those vested assets or are part of the Natio</w:t>
                  </w:r>
                  <w:r w:rsidR="1E739BCE">
                    <w:t>nal Rental Affordability Scheme</w:t>
                  </w:r>
                </w:p>
              </w:tc>
            </w:tr>
            <w:tr w:rsidR="00944839" w:rsidRPr="004C48F1" w14:paraId="1A03477E" w14:textId="77777777" w:rsidTr="676085C9">
              <w:tc>
                <w:tcPr>
                  <w:tcW w:w="667" w:type="pct"/>
                  <w:shd w:val="clear" w:color="auto" w:fill="auto"/>
                </w:tcPr>
                <w:p w14:paraId="1EF38078" w14:textId="77777777" w:rsidR="00944839" w:rsidRPr="004C48F1" w:rsidRDefault="00944839" w:rsidP="00845342">
                  <w:pPr>
                    <w:pStyle w:val="TableBodyText"/>
                    <w:jc w:val="left"/>
                  </w:pPr>
                </w:p>
              </w:tc>
              <w:tc>
                <w:tcPr>
                  <w:tcW w:w="4333" w:type="pct"/>
                  <w:shd w:val="clear" w:color="auto" w:fill="auto"/>
                </w:tcPr>
                <w:p w14:paraId="7E944AB7" w14:textId="7ADE7849" w:rsidR="00944839" w:rsidRPr="004C48F1" w:rsidRDefault="64B934A5" w:rsidP="00E60CC8">
                  <w:pPr>
                    <w:pStyle w:val="TableBullet"/>
                  </w:pPr>
                  <w:r w:rsidRPr="004C48F1">
                    <w:t>Dwellings commissioned on a fee</w:t>
                  </w:r>
                  <w:r w:rsidR="0039474C">
                    <w:t>–</w:t>
                  </w:r>
                  <w:r w:rsidRPr="004C48F1">
                    <w:t>for</w:t>
                  </w:r>
                  <w:r w:rsidR="0039474C">
                    <w:t>–</w:t>
                  </w:r>
                  <w:r w:rsidRPr="004C48F1">
                    <w:t xml:space="preserve">service basis by NSW </w:t>
                  </w:r>
                  <w:r w:rsidR="1E739BCE" w:rsidRPr="676085C9">
                    <w:rPr>
                      <w:rFonts w:asciiTheme="minorHAnsi" w:hAnsiTheme="minorHAnsi" w:cstheme="minorBidi"/>
                      <w:sz w:val="20"/>
                    </w:rPr>
                    <w:t xml:space="preserve">DCJ </w:t>
                  </w:r>
                  <w:r w:rsidRPr="004C48F1">
                    <w:t>using the Social and Affordable Housing Fund.</w:t>
                  </w:r>
                </w:p>
              </w:tc>
            </w:tr>
            <w:tr w:rsidR="00944839" w:rsidRPr="004C48F1" w14:paraId="44AE007B" w14:textId="77777777" w:rsidTr="676085C9">
              <w:tc>
                <w:tcPr>
                  <w:tcW w:w="667" w:type="pct"/>
                  <w:shd w:val="clear" w:color="auto" w:fill="auto"/>
                </w:tcPr>
                <w:p w14:paraId="6FB4A085" w14:textId="77777777" w:rsidR="00944839" w:rsidRPr="004C48F1" w:rsidRDefault="00944839" w:rsidP="00845342">
                  <w:pPr>
                    <w:pStyle w:val="TableBodyText"/>
                    <w:jc w:val="left"/>
                  </w:pPr>
                </w:p>
              </w:tc>
              <w:tc>
                <w:tcPr>
                  <w:tcW w:w="4333" w:type="pct"/>
                  <w:shd w:val="clear" w:color="auto" w:fill="auto"/>
                </w:tcPr>
                <w:p w14:paraId="7F7EF5F0" w14:textId="01A8D0BF" w:rsidR="00944839" w:rsidRPr="004C48F1" w:rsidRDefault="003323EC" w:rsidP="0030789B">
                  <w:pPr>
                    <w:pStyle w:val="TableBodyText"/>
                    <w:ind w:right="28"/>
                    <w:jc w:val="both"/>
                    <w:rPr>
                      <w:szCs w:val="18"/>
                    </w:rPr>
                  </w:pPr>
                  <w:r w:rsidRPr="004C48F1">
                    <w:rPr>
                      <w:i/>
                      <w:szCs w:val="18"/>
                    </w:rPr>
                    <w:t>Note</w:t>
                  </w:r>
                  <w:r w:rsidRPr="004C48F1">
                    <w:rPr>
                      <w:szCs w:val="18"/>
                    </w:rPr>
                    <w:t>: Assistance type and property source are independent of each other and numerous combinations of the two apply.</w:t>
                  </w:r>
                </w:p>
              </w:tc>
            </w:tr>
            <w:tr w:rsidR="00944839" w:rsidRPr="004C48F1" w14:paraId="6C3D860D" w14:textId="77777777" w:rsidTr="676085C9">
              <w:tc>
                <w:tcPr>
                  <w:tcW w:w="667" w:type="pct"/>
                  <w:shd w:val="clear" w:color="auto" w:fill="auto"/>
                </w:tcPr>
                <w:p w14:paraId="70807F8B" w14:textId="7971396E" w:rsidR="00944839" w:rsidRPr="004C48F1" w:rsidRDefault="00944839" w:rsidP="00845342">
                  <w:pPr>
                    <w:pStyle w:val="TableBodyText"/>
                    <w:jc w:val="left"/>
                  </w:pPr>
                  <w:r w:rsidRPr="004C48F1">
                    <w:t>Victoria</w:t>
                  </w:r>
                </w:p>
              </w:tc>
              <w:tc>
                <w:tcPr>
                  <w:tcW w:w="4333" w:type="pct"/>
                </w:tcPr>
                <w:p w14:paraId="0CA9E186" w14:textId="5296980C" w:rsidR="00944839" w:rsidRPr="004C48F1" w:rsidRDefault="71084B0C" w:rsidP="0030789B">
                  <w:pPr>
                    <w:pStyle w:val="TableBodyText"/>
                    <w:ind w:right="28"/>
                    <w:jc w:val="both"/>
                  </w:pPr>
                  <w:r w:rsidRPr="676085C9">
                    <w:t>Dwellings leased for the provision of community housing (</w:t>
                  </w:r>
                  <w:r w:rsidR="6D805A44" w:rsidRPr="676085C9">
                    <w:t>head</w:t>
                  </w:r>
                  <w:r w:rsidR="00262050">
                    <w:t>–</w:t>
                  </w:r>
                  <w:r w:rsidR="6D805A44" w:rsidRPr="676085C9">
                    <w:t>leasing</w:t>
                  </w:r>
                  <w:r w:rsidRPr="676085C9">
                    <w:t>) provided the tenancy management function is undertaken by a community provider</w:t>
                  </w:r>
                </w:p>
              </w:tc>
            </w:tr>
            <w:tr w:rsidR="00944839" w:rsidRPr="004C48F1" w14:paraId="5ABBC71D" w14:textId="77777777" w:rsidTr="676085C9">
              <w:tc>
                <w:tcPr>
                  <w:tcW w:w="667" w:type="pct"/>
                  <w:shd w:val="clear" w:color="auto" w:fill="auto"/>
                </w:tcPr>
                <w:p w14:paraId="228F2331" w14:textId="77777777" w:rsidR="00944839" w:rsidRPr="004C48F1" w:rsidRDefault="00944839" w:rsidP="00845342">
                  <w:pPr>
                    <w:pStyle w:val="TableBodyText"/>
                    <w:jc w:val="left"/>
                  </w:pPr>
                </w:p>
              </w:tc>
              <w:tc>
                <w:tcPr>
                  <w:tcW w:w="4333" w:type="pct"/>
                </w:tcPr>
                <w:p w14:paraId="6845D9A7" w14:textId="23623DCF" w:rsidR="00944839" w:rsidRPr="004C48F1" w:rsidRDefault="00944839" w:rsidP="0030789B">
                  <w:pPr>
                    <w:pStyle w:val="TableBodyText"/>
                    <w:ind w:right="28"/>
                    <w:jc w:val="both"/>
                  </w:pPr>
                  <w:r w:rsidRPr="004C48F1">
                    <w:t>Dwellings bought by the State Housing/Community Housing Authority but managed by a community housing provider or local government</w:t>
                  </w:r>
                </w:p>
              </w:tc>
            </w:tr>
            <w:tr w:rsidR="00944839" w:rsidRPr="004C48F1" w14:paraId="366B9D8A" w14:textId="77777777" w:rsidTr="676085C9">
              <w:tc>
                <w:tcPr>
                  <w:tcW w:w="667" w:type="pct"/>
                  <w:shd w:val="clear" w:color="auto" w:fill="auto"/>
                </w:tcPr>
                <w:p w14:paraId="11EAE83A" w14:textId="77777777" w:rsidR="00944839" w:rsidRPr="004C48F1" w:rsidRDefault="00944839" w:rsidP="00845342">
                  <w:pPr>
                    <w:pStyle w:val="TableBodyText"/>
                    <w:jc w:val="left"/>
                  </w:pPr>
                </w:p>
              </w:tc>
              <w:tc>
                <w:tcPr>
                  <w:tcW w:w="4333" w:type="pct"/>
                </w:tcPr>
                <w:p w14:paraId="7BDBB2E9" w14:textId="63F9EF9D" w:rsidR="00944839" w:rsidRPr="004C48F1" w:rsidRDefault="00944839" w:rsidP="00BE7270">
                  <w:pPr>
                    <w:pStyle w:val="TableBodyText"/>
                    <w:ind w:right="28"/>
                    <w:jc w:val="both"/>
                  </w:pPr>
                  <w:r w:rsidRPr="004C48F1">
                    <w:t>Joint ventures</w:t>
                  </w:r>
                </w:p>
              </w:tc>
            </w:tr>
            <w:tr w:rsidR="00944839" w:rsidRPr="004C48F1" w14:paraId="3A466D40" w14:textId="77777777" w:rsidTr="676085C9">
              <w:tc>
                <w:tcPr>
                  <w:tcW w:w="667" w:type="pct"/>
                  <w:shd w:val="clear" w:color="auto" w:fill="auto"/>
                </w:tcPr>
                <w:p w14:paraId="59878B93" w14:textId="77777777" w:rsidR="00944839" w:rsidRPr="004C48F1" w:rsidRDefault="00944839" w:rsidP="00845342">
                  <w:pPr>
                    <w:pStyle w:val="TableBodyText"/>
                    <w:jc w:val="left"/>
                  </w:pPr>
                </w:p>
              </w:tc>
              <w:tc>
                <w:tcPr>
                  <w:tcW w:w="4333" w:type="pct"/>
                </w:tcPr>
                <w:p w14:paraId="40027B71" w14:textId="4744CE16" w:rsidR="00944839" w:rsidRPr="004C48F1" w:rsidRDefault="00944839" w:rsidP="001C0B07">
                  <w:pPr>
                    <w:pStyle w:val="TableBodyText"/>
                    <w:ind w:right="28"/>
                    <w:jc w:val="both"/>
                  </w:pPr>
                  <w:r w:rsidRPr="004C48F1">
                    <w:t>New dwellings constructed under the National Rental Affordability Scheme</w:t>
                  </w:r>
                </w:p>
              </w:tc>
            </w:tr>
            <w:tr w:rsidR="00944839" w:rsidRPr="004C48F1" w14:paraId="1E8A155F" w14:textId="77777777" w:rsidTr="676085C9">
              <w:tc>
                <w:tcPr>
                  <w:tcW w:w="667" w:type="pct"/>
                  <w:shd w:val="clear" w:color="auto" w:fill="auto"/>
                </w:tcPr>
                <w:p w14:paraId="7C7C4D93" w14:textId="73EC7FF2" w:rsidR="00944839" w:rsidRPr="004C48F1" w:rsidRDefault="00944839" w:rsidP="00845342">
                  <w:pPr>
                    <w:pStyle w:val="TableBodyText"/>
                    <w:jc w:val="left"/>
                  </w:pPr>
                </w:p>
              </w:tc>
              <w:tc>
                <w:tcPr>
                  <w:tcW w:w="4333" w:type="pct"/>
                </w:tcPr>
                <w:p w14:paraId="47B8FB36" w14:textId="460FE42C" w:rsidR="00944839" w:rsidRPr="004C48F1" w:rsidRDefault="00944839" w:rsidP="0030789B">
                  <w:pPr>
                    <w:pStyle w:val="TableBodyText"/>
                    <w:ind w:right="28"/>
                    <w:jc w:val="both"/>
                    <w:rPr>
                      <w:szCs w:val="18"/>
                    </w:rPr>
                  </w:pPr>
                  <w:r w:rsidRPr="004C48F1">
                    <w:rPr>
                      <w:szCs w:val="18"/>
                    </w:rPr>
                    <w:t xml:space="preserve">Dwellings used for the provision of community housing </w:t>
                  </w:r>
                  <w:r w:rsidR="00DA4444">
                    <w:rPr>
                      <w:szCs w:val="18"/>
                    </w:rPr>
                    <w:t>that</w:t>
                  </w:r>
                  <w:r w:rsidRPr="004C48F1">
                    <w:rPr>
                      <w:szCs w:val="18"/>
                    </w:rPr>
                    <w:t xml:space="preserve"> the State Housing Authority has an interest in</w:t>
                  </w:r>
                  <w:r w:rsidR="00E75F92" w:rsidRPr="004C48F1">
                    <w:rPr>
                      <w:szCs w:val="18"/>
                    </w:rPr>
                    <w:t>.</w:t>
                  </w:r>
                </w:p>
              </w:tc>
            </w:tr>
            <w:tr w:rsidR="00944839" w:rsidRPr="004C48F1" w14:paraId="2C8BE7E1" w14:textId="77777777" w:rsidTr="676085C9">
              <w:tc>
                <w:tcPr>
                  <w:tcW w:w="667" w:type="pct"/>
                  <w:shd w:val="clear" w:color="auto" w:fill="auto"/>
                </w:tcPr>
                <w:p w14:paraId="32628D51" w14:textId="74C7C803" w:rsidR="00944839" w:rsidRPr="004C48F1" w:rsidRDefault="00825CAD" w:rsidP="00845342">
                  <w:pPr>
                    <w:pStyle w:val="TableBodyText"/>
                    <w:jc w:val="left"/>
                  </w:pPr>
                  <w:r w:rsidRPr="004C48F1">
                    <w:t>Queensland</w:t>
                  </w:r>
                </w:p>
              </w:tc>
              <w:tc>
                <w:tcPr>
                  <w:tcW w:w="4333" w:type="pct"/>
                </w:tcPr>
                <w:p w14:paraId="09D431EC" w14:textId="184515A3" w:rsidR="00944839" w:rsidRPr="004C48F1" w:rsidRDefault="00944839" w:rsidP="001C0B07">
                  <w:pPr>
                    <w:pStyle w:val="TableBodyText"/>
                    <w:ind w:right="28"/>
                    <w:jc w:val="both"/>
                  </w:pPr>
                  <w:r w:rsidRPr="004C48F1">
                    <w:t>Boarding House Program (Community Managed Studio Units)</w:t>
                  </w:r>
                </w:p>
              </w:tc>
            </w:tr>
            <w:tr w:rsidR="00D8142E" w:rsidRPr="004C48F1" w14:paraId="4C642844" w14:textId="77777777" w:rsidTr="676085C9">
              <w:tc>
                <w:tcPr>
                  <w:tcW w:w="667" w:type="pct"/>
                  <w:shd w:val="clear" w:color="auto" w:fill="auto"/>
                </w:tcPr>
                <w:p w14:paraId="35B9E38E" w14:textId="77777777" w:rsidR="00D8142E" w:rsidRPr="004C48F1" w:rsidRDefault="00D8142E" w:rsidP="00845342">
                  <w:pPr>
                    <w:pStyle w:val="TableBodyText"/>
                    <w:jc w:val="left"/>
                  </w:pPr>
                </w:p>
              </w:tc>
              <w:tc>
                <w:tcPr>
                  <w:tcW w:w="4333" w:type="pct"/>
                </w:tcPr>
                <w:p w14:paraId="375B80AC" w14:textId="59A0D395" w:rsidR="00D8142E" w:rsidRPr="004C48F1" w:rsidRDefault="00D8142E" w:rsidP="0030789B">
                  <w:pPr>
                    <w:pStyle w:val="TableBodyText"/>
                    <w:ind w:right="28"/>
                    <w:jc w:val="both"/>
                  </w:pPr>
                  <w:r w:rsidRPr="004C48F1">
                    <w:t>Community Rent Scheme</w:t>
                  </w:r>
                </w:p>
              </w:tc>
            </w:tr>
            <w:tr w:rsidR="00944839" w:rsidRPr="004C48F1" w14:paraId="52792CD0" w14:textId="77777777" w:rsidTr="676085C9">
              <w:tc>
                <w:tcPr>
                  <w:tcW w:w="667" w:type="pct"/>
                  <w:shd w:val="clear" w:color="auto" w:fill="auto"/>
                </w:tcPr>
                <w:p w14:paraId="0E4B5E9C" w14:textId="77777777" w:rsidR="00944839" w:rsidRPr="004C48F1" w:rsidRDefault="00944839" w:rsidP="00845342">
                  <w:pPr>
                    <w:pStyle w:val="TableBodyText"/>
                    <w:jc w:val="left"/>
                  </w:pPr>
                </w:p>
              </w:tc>
              <w:tc>
                <w:tcPr>
                  <w:tcW w:w="4333" w:type="pct"/>
                </w:tcPr>
                <w:p w14:paraId="7C793F2A" w14:textId="249407D8" w:rsidR="00944839" w:rsidRPr="004C48F1" w:rsidRDefault="00944839" w:rsidP="0030789B">
                  <w:pPr>
                    <w:pStyle w:val="TableBodyText"/>
                    <w:ind w:right="28"/>
                    <w:jc w:val="both"/>
                  </w:pPr>
                  <w:r w:rsidRPr="004C48F1">
                    <w:t>Long Term Community Housing Program</w:t>
                  </w:r>
                </w:p>
              </w:tc>
            </w:tr>
            <w:tr w:rsidR="00944839" w:rsidRPr="004C48F1" w14:paraId="17D0D956" w14:textId="77777777" w:rsidTr="676085C9">
              <w:tc>
                <w:tcPr>
                  <w:tcW w:w="667" w:type="pct"/>
                  <w:shd w:val="clear" w:color="auto" w:fill="auto"/>
                </w:tcPr>
                <w:p w14:paraId="0DB8F976" w14:textId="77777777" w:rsidR="00944839" w:rsidRPr="004C48F1" w:rsidRDefault="00944839" w:rsidP="00845342">
                  <w:pPr>
                    <w:pStyle w:val="TableBodyText"/>
                    <w:jc w:val="left"/>
                  </w:pPr>
                </w:p>
              </w:tc>
              <w:tc>
                <w:tcPr>
                  <w:tcW w:w="4333" w:type="pct"/>
                </w:tcPr>
                <w:p w14:paraId="0C46EBCD" w14:textId="40AEFE37" w:rsidR="00944839" w:rsidRPr="004C48F1" w:rsidRDefault="00944839" w:rsidP="0030789B">
                  <w:pPr>
                    <w:pStyle w:val="TableBodyText"/>
                    <w:ind w:right="28"/>
                    <w:jc w:val="both"/>
                    <w:rPr>
                      <w:szCs w:val="18"/>
                    </w:rPr>
                  </w:pPr>
                  <w:r w:rsidRPr="004C48F1">
                    <w:rPr>
                      <w:szCs w:val="18"/>
                    </w:rPr>
                    <w:t>Affordable Housing Program</w:t>
                  </w:r>
                </w:p>
              </w:tc>
            </w:tr>
            <w:tr w:rsidR="00944839" w:rsidRPr="004C48F1" w14:paraId="0F543148" w14:textId="77777777" w:rsidTr="676085C9">
              <w:tc>
                <w:tcPr>
                  <w:tcW w:w="667" w:type="pct"/>
                  <w:shd w:val="clear" w:color="auto" w:fill="auto"/>
                </w:tcPr>
                <w:p w14:paraId="422E851E" w14:textId="77777777" w:rsidR="00944839" w:rsidRPr="004C48F1" w:rsidRDefault="00944839" w:rsidP="00845342">
                  <w:pPr>
                    <w:pStyle w:val="TableBodyText"/>
                    <w:jc w:val="left"/>
                  </w:pPr>
                </w:p>
              </w:tc>
              <w:tc>
                <w:tcPr>
                  <w:tcW w:w="4333" w:type="pct"/>
                </w:tcPr>
                <w:p w14:paraId="0DB5B7AD" w14:textId="76814AC7" w:rsidR="00944839" w:rsidRPr="004C48F1" w:rsidRDefault="00944839" w:rsidP="0030789B">
                  <w:pPr>
                    <w:pStyle w:val="TableBodyText"/>
                    <w:ind w:right="28"/>
                    <w:jc w:val="both"/>
                  </w:pPr>
                  <w:r w:rsidRPr="004C48F1">
                    <w:t>Supportive Accommodation</w:t>
                  </w:r>
                </w:p>
              </w:tc>
            </w:tr>
            <w:tr w:rsidR="00944839" w:rsidRPr="004C48F1" w14:paraId="07EB67A3" w14:textId="77777777" w:rsidTr="676085C9">
              <w:tc>
                <w:tcPr>
                  <w:tcW w:w="667" w:type="pct"/>
                  <w:shd w:val="clear" w:color="auto" w:fill="auto"/>
                </w:tcPr>
                <w:p w14:paraId="2BF34AEF" w14:textId="210C6A97" w:rsidR="00944839" w:rsidRPr="004C48F1" w:rsidRDefault="00944839" w:rsidP="00845342">
                  <w:pPr>
                    <w:pStyle w:val="TableBodyText"/>
                    <w:jc w:val="left"/>
                  </w:pPr>
                  <w:r w:rsidRPr="004C48F1">
                    <w:t>WA</w:t>
                  </w:r>
                </w:p>
              </w:tc>
              <w:tc>
                <w:tcPr>
                  <w:tcW w:w="4333" w:type="pct"/>
                </w:tcPr>
                <w:p w14:paraId="2F8E7A02" w14:textId="759E1E3D" w:rsidR="00944839" w:rsidRPr="004C48F1" w:rsidRDefault="00C50027" w:rsidP="00FF036B">
                  <w:pPr>
                    <w:pStyle w:val="TableBodyText"/>
                    <w:ind w:right="28"/>
                    <w:jc w:val="both"/>
                  </w:pPr>
                  <w:r w:rsidRPr="004C48F1">
                    <w:t>Current and previously r</w:t>
                  </w:r>
                  <w:r w:rsidR="00944839" w:rsidRPr="004C48F1">
                    <w:t xml:space="preserve">egistered </w:t>
                  </w:r>
                  <w:r w:rsidR="00FF036B" w:rsidRPr="004C48F1">
                    <w:t>p</w:t>
                  </w:r>
                  <w:r w:rsidR="00944839" w:rsidRPr="004C48F1">
                    <w:t>roviders in all of the below programs (plus any new program developed)</w:t>
                  </w:r>
                </w:p>
              </w:tc>
            </w:tr>
            <w:tr w:rsidR="00944839" w:rsidRPr="004C48F1" w14:paraId="361C10AF" w14:textId="77777777" w:rsidTr="676085C9">
              <w:tc>
                <w:tcPr>
                  <w:tcW w:w="667" w:type="pct"/>
                  <w:shd w:val="clear" w:color="auto" w:fill="auto"/>
                </w:tcPr>
                <w:p w14:paraId="6CF38193" w14:textId="77777777" w:rsidR="00944839" w:rsidRPr="004C48F1" w:rsidRDefault="00944839" w:rsidP="00845342">
                  <w:pPr>
                    <w:pStyle w:val="TableBodyText"/>
                    <w:jc w:val="left"/>
                  </w:pPr>
                </w:p>
              </w:tc>
              <w:tc>
                <w:tcPr>
                  <w:tcW w:w="4333" w:type="pct"/>
                </w:tcPr>
                <w:p w14:paraId="54BEC86E" w14:textId="46D02F3D" w:rsidR="00944839" w:rsidRPr="004C48F1" w:rsidRDefault="00944839" w:rsidP="001C0B07">
                  <w:pPr>
                    <w:pStyle w:val="TableBodyText"/>
                    <w:ind w:right="28"/>
                    <w:jc w:val="both"/>
                  </w:pPr>
                  <w:r w:rsidRPr="004C48F1">
                    <w:t xml:space="preserve">Community Disability Housing Program </w:t>
                  </w:r>
                </w:p>
              </w:tc>
            </w:tr>
            <w:tr w:rsidR="00944839" w:rsidRPr="004C48F1" w14:paraId="4E174BC7" w14:textId="77777777" w:rsidTr="676085C9">
              <w:tc>
                <w:tcPr>
                  <w:tcW w:w="667" w:type="pct"/>
                  <w:shd w:val="clear" w:color="auto" w:fill="auto"/>
                </w:tcPr>
                <w:p w14:paraId="6DB8D28D" w14:textId="77777777" w:rsidR="00944839" w:rsidRPr="004C48F1" w:rsidRDefault="00944839" w:rsidP="00845342">
                  <w:pPr>
                    <w:pStyle w:val="TableBodyText"/>
                    <w:jc w:val="left"/>
                  </w:pPr>
                </w:p>
              </w:tc>
              <w:tc>
                <w:tcPr>
                  <w:tcW w:w="4333" w:type="pct"/>
                </w:tcPr>
                <w:p w14:paraId="66726847" w14:textId="2E8C057B" w:rsidR="00944839" w:rsidRPr="004C48F1" w:rsidRDefault="00944839" w:rsidP="001C0B07">
                  <w:pPr>
                    <w:pStyle w:val="TableBodyText"/>
                    <w:ind w:right="28"/>
                    <w:jc w:val="both"/>
                  </w:pPr>
                  <w:r w:rsidRPr="004C48F1">
                    <w:t>Community Housing Program</w:t>
                  </w:r>
                </w:p>
              </w:tc>
            </w:tr>
            <w:tr w:rsidR="00FF036B" w:rsidRPr="004C48F1" w14:paraId="6E2B66E7" w14:textId="77777777" w:rsidTr="676085C9">
              <w:tc>
                <w:tcPr>
                  <w:tcW w:w="667" w:type="pct"/>
                  <w:shd w:val="clear" w:color="auto" w:fill="auto"/>
                </w:tcPr>
                <w:p w14:paraId="010723DB" w14:textId="77777777" w:rsidR="00FF036B" w:rsidRPr="004C48F1" w:rsidRDefault="00FF036B" w:rsidP="00845342">
                  <w:pPr>
                    <w:pStyle w:val="TableBodyText"/>
                    <w:jc w:val="left"/>
                  </w:pPr>
                </w:p>
              </w:tc>
              <w:tc>
                <w:tcPr>
                  <w:tcW w:w="4333" w:type="pct"/>
                </w:tcPr>
                <w:p w14:paraId="09F74554" w14:textId="4FE7A827" w:rsidR="00FF036B" w:rsidRPr="004C48F1" w:rsidRDefault="00FF036B" w:rsidP="001C0B07">
                  <w:pPr>
                    <w:pStyle w:val="TableBodyText"/>
                    <w:ind w:right="28"/>
                    <w:jc w:val="both"/>
                  </w:pPr>
                  <w:r w:rsidRPr="004C48F1">
                    <w:t>Indigenous Urban Community Housing</w:t>
                  </w:r>
                </w:p>
              </w:tc>
            </w:tr>
            <w:tr w:rsidR="00944839" w:rsidRPr="004C48F1" w14:paraId="15FFD878" w14:textId="77777777" w:rsidTr="676085C9">
              <w:tc>
                <w:tcPr>
                  <w:tcW w:w="667" w:type="pct"/>
                  <w:shd w:val="clear" w:color="auto" w:fill="auto"/>
                </w:tcPr>
                <w:p w14:paraId="6EC2DEEB" w14:textId="77777777" w:rsidR="00944839" w:rsidRPr="004C48F1" w:rsidRDefault="00944839" w:rsidP="00845342">
                  <w:pPr>
                    <w:pStyle w:val="TableBodyText"/>
                    <w:jc w:val="left"/>
                  </w:pPr>
                </w:p>
              </w:tc>
              <w:tc>
                <w:tcPr>
                  <w:tcW w:w="4333" w:type="pct"/>
                </w:tcPr>
                <w:p w14:paraId="44EEBE1B" w14:textId="439211CC" w:rsidR="00944839" w:rsidRPr="004C48F1" w:rsidRDefault="00FF036B" w:rsidP="001C0B07">
                  <w:pPr>
                    <w:pStyle w:val="TableBodyText"/>
                    <w:ind w:right="28"/>
                    <w:jc w:val="both"/>
                  </w:pPr>
                  <w:r w:rsidRPr="004C48F1">
                    <w:t>Joint Venture Program</w:t>
                  </w:r>
                </w:p>
              </w:tc>
            </w:tr>
            <w:tr w:rsidR="00FF036B" w:rsidRPr="004C48F1" w14:paraId="06228CC6" w14:textId="77777777" w:rsidTr="00B71131">
              <w:tc>
                <w:tcPr>
                  <w:tcW w:w="667" w:type="pct"/>
                  <w:shd w:val="clear" w:color="auto" w:fill="auto"/>
                </w:tcPr>
                <w:p w14:paraId="6EBDCCF0" w14:textId="77777777" w:rsidR="00FF036B" w:rsidRPr="004C48F1" w:rsidRDefault="00FF036B" w:rsidP="00845342">
                  <w:pPr>
                    <w:pStyle w:val="TableBodyText"/>
                    <w:jc w:val="left"/>
                  </w:pPr>
                </w:p>
              </w:tc>
              <w:tc>
                <w:tcPr>
                  <w:tcW w:w="4333" w:type="pct"/>
                  <w:shd w:val="clear" w:color="auto" w:fill="auto"/>
                </w:tcPr>
                <w:p w14:paraId="026C0C5A" w14:textId="0493AD72" w:rsidR="00FF036B" w:rsidRPr="004C48F1" w:rsidRDefault="00FF036B" w:rsidP="001C0B07">
                  <w:pPr>
                    <w:pStyle w:val="TableBodyText"/>
                    <w:ind w:right="28"/>
                    <w:jc w:val="both"/>
                  </w:pPr>
                  <w:r w:rsidRPr="004C48F1">
                    <w:t>Lease For Life</w:t>
                  </w:r>
                </w:p>
              </w:tc>
            </w:tr>
            <w:tr w:rsidR="00944839" w:rsidRPr="004C48F1" w14:paraId="214874EE" w14:textId="77777777" w:rsidTr="00B71131">
              <w:tc>
                <w:tcPr>
                  <w:tcW w:w="667" w:type="pct"/>
                  <w:shd w:val="clear" w:color="auto" w:fill="auto"/>
                </w:tcPr>
                <w:p w14:paraId="19F79279" w14:textId="77777777" w:rsidR="00944839" w:rsidRPr="004C48F1" w:rsidRDefault="00944839" w:rsidP="00845342">
                  <w:pPr>
                    <w:pStyle w:val="TableBodyText"/>
                    <w:jc w:val="left"/>
                  </w:pPr>
                </w:p>
              </w:tc>
              <w:tc>
                <w:tcPr>
                  <w:tcW w:w="4333" w:type="pct"/>
                  <w:shd w:val="clear" w:color="auto" w:fill="auto"/>
                </w:tcPr>
                <w:p w14:paraId="49BAE0A2" w14:textId="1BABA1D3" w:rsidR="00944839" w:rsidRPr="004C48F1" w:rsidRDefault="00944839" w:rsidP="00560025">
                  <w:pPr>
                    <w:pStyle w:val="TableBodyText"/>
                    <w:ind w:right="28"/>
                    <w:jc w:val="both"/>
                  </w:pPr>
                  <w:r w:rsidRPr="004C48F1">
                    <w:t>Lodging House</w:t>
                  </w:r>
                  <w:r w:rsidR="00560025" w:rsidRPr="004C48F1">
                    <w:t xml:space="preserve"> Program</w:t>
                  </w:r>
                </w:p>
              </w:tc>
            </w:tr>
            <w:tr w:rsidR="00560025" w:rsidRPr="004C48F1" w14:paraId="6EF2ABF7" w14:textId="77777777" w:rsidTr="676085C9">
              <w:tc>
                <w:tcPr>
                  <w:tcW w:w="667" w:type="pct"/>
                  <w:shd w:val="clear" w:color="auto" w:fill="auto"/>
                </w:tcPr>
                <w:p w14:paraId="7148B68D" w14:textId="77777777" w:rsidR="00560025" w:rsidRPr="004C48F1" w:rsidRDefault="00560025" w:rsidP="00560025">
                  <w:pPr>
                    <w:pStyle w:val="TableBodyText"/>
                    <w:jc w:val="left"/>
                  </w:pPr>
                </w:p>
              </w:tc>
              <w:tc>
                <w:tcPr>
                  <w:tcW w:w="4333" w:type="pct"/>
                </w:tcPr>
                <w:p w14:paraId="0D902BF2" w14:textId="2459386C" w:rsidR="00560025" w:rsidRPr="004C48F1" w:rsidRDefault="00560025" w:rsidP="00560025">
                  <w:pPr>
                    <w:pStyle w:val="TableBodyText"/>
                    <w:ind w:right="28"/>
                    <w:jc w:val="both"/>
                  </w:pPr>
                  <w:r w:rsidRPr="004C48F1">
                    <w:t>Public Housing Leasing Program</w:t>
                  </w:r>
                </w:p>
              </w:tc>
            </w:tr>
            <w:tr w:rsidR="00560025" w:rsidRPr="004C48F1" w14:paraId="3E44EEEF" w14:textId="77777777" w:rsidTr="676085C9">
              <w:tc>
                <w:tcPr>
                  <w:tcW w:w="667" w:type="pct"/>
                  <w:shd w:val="clear" w:color="auto" w:fill="auto"/>
                </w:tcPr>
                <w:p w14:paraId="60B445C4" w14:textId="77777777" w:rsidR="00560025" w:rsidRPr="004C48F1" w:rsidRDefault="00560025" w:rsidP="00560025">
                  <w:pPr>
                    <w:pStyle w:val="TableBodyText"/>
                    <w:jc w:val="left"/>
                  </w:pPr>
                </w:p>
              </w:tc>
              <w:tc>
                <w:tcPr>
                  <w:tcW w:w="4333" w:type="pct"/>
                </w:tcPr>
                <w:p w14:paraId="7EE55042" w14:textId="37F36CA4" w:rsidR="00560025" w:rsidRPr="004C48F1" w:rsidRDefault="00560025" w:rsidP="00560025">
                  <w:pPr>
                    <w:pStyle w:val="TableBodyText"/>
                    <w:ind w:right="28"/>
                    <w:jc w:val="both"/>
                  </w:pPr>
                  <w:r w:rsidRPr="004C48F1">
                    <w:t>Social Housing Investment Package — Community Housing</w:t>
                  </w:r>
                </w:p>
              </w:tc>
            </w:tr>
            <w:tr w:rsidR="00560025" w:rsidRPr="004C48F1" w14:paraId="06725783" w14:textId="77777777" w:rsidTr="676085C9">
              <w:tc>
                <w:tcPr>
                  <w:tcW w:w="667" w:type="pct"/>
                  <w:shd w:val="clear" w:color="auto" w:fill="auto"/>
                </w:tcPr>
                <w:p w14:paraId="5D9C6C32" w14:textId="77777777" w:rsidR="00560025" w:rsidRPr="004C48F1" w:rsidRDefault="00560025" w:rsidP="00560025">
                  <w:pPr>
                    <w:pStyle w:val="TableBodyText"/>
                    <w:jc w:val="left"/>
                  </w:pPr>
                </w:p>
              </w:tc>
              <w:tc>
                <w:tcPr>
                  <w:tcW w:w="4333" w:type="pct"/>
                </w:tcPr>
                <w:p w14:paraId="54EF96A0" w14:textId="7417AA6B" w:rsidR="00560025" w:rsidRPr="004C48F1" w:rsidRDefault="00560025" w:rsidP="00560025">
                  <w:pPr>
                    <w:pStyle w:val="TableBodyText"/>
                    <w:ind w:right="28"/>
                    <w:jc w:val="both"/>
                  </w:pPr>
                  <w:r w:rsidRPr="004C48F1">
                    <w:t>State Community Housing Investment Program</w:t>
                  </w:r>
                </w:p>
              </w:tc>
            </w:tr>
            <w:tr w:rsidR="00560025" w:rsidRPr="004C48F1" w14:paraId="121AFBA5" w14:textId="77777777" w:rsidTr="000963E3">
              <w:tc>
                <w:tcPr>
                  <w:tcW w:w="667" w:type="pct"/>
                  <w:shd w:val="clear" w:color="auto" w:fill="auto"/>
                </w:tcPr>
                <w:p w14:paraId="5D15FC81" w14:textId="77777777" w:rsidR="00560025" w:rsidRPr="004C48F1" w:rsidRDefault="00560025" w:rsidP="00560025">
                  <w:pPr>
                    <w:pStyle w:val="TableBodyText"/>
                    <w:jc w:val="left"/>
                  </w:pPr>
                </w:p>
              </w:tc>
              <w:tc>
                <w:tcPr>
                  <w:tcW w:w="4333" w:type="pct"/>
                </w:tcPr>
                <w:p w14:paraId="2F84BB87" w14:textId="4AF1B232" w:rsidR="00560025" w:rsidRPr="004C48F1" w:rsidRDefault="00560025" w:rsidP="00560025">
                  <w:pPr>
                    <w:pStyle w:val="TableBodyText"/>
                    <w:ind w:right="28"/>
                    <w:jc w:val="both"/>
                  </w:pPr>
                  <w:r w:rsidRPr="004C48F1">
                    <w:t>Transitional Housing Program</w:t>
                  </w:r>
                </w:p>
              </w:tc>
            </w:tr>
            <w:tr w:rsidR="005E60A4" w14:paraId="76389F9A" w14:textId="77777777" w:rsidTr="000963E3">
              <w:tc>
                <w:tcPr>
                  <w:tcW w:w="667" w:type="pct"/>
                  <w:tcBorders>
                    <w:bottom w:val="single" w:sz="6" w:space="0" w:color="BFBFBF" w:themeColor="background1" w:themeShade="BF"/>
                  </w:tcBorders>
                  <w:shd w:val="clear" w:color="auto" w:fill="auto"/>
                </w:tcPr>
                <w:p w14:paraId="0AE4C5E8" w14:textId="77777777" w:rsidR="005E60A4" w:rsidRPr="004C48F1" w:rsidRDefault="005E60A4" w:rsidP="00560025">
                  <w:pPr>
                    <w:pStyle w:val="TableBodyText"/>
                    <w:jc w:val="left"/>
                  </w:pPr>
                </w:p>
              </w:tc>
              <w:tc>
                <w:tcPr>
                  <w:tcW w:w="4333" w:type="pct"/>
                  <w:tcBorders>
                    <w:bottom w:val="single" w:sz="6" w:space="0" w:color="BFBFBF" w:themeColor="background1" w:themeShade="BF"/>
                  </w:tcBorders>
                </w:tcPr>
                <w:p w14:paraId="05891007" w14:textId="754FC696" w:rsidR="005E60A4" w:rsidRPr="004C48F1" w:rsidRDefault="005E60A4" w:rsidP="005E60A4">
                  <w:pPr>
                    <w:pStyle w:val="TableBodyText"/>
                    <w:spacing w:before="80"/>
                    <w:ind w:right="28"/>
                  </w:pPr>
                  <w:r w:rsidRPr="004C48F1">
                    <w:t>(Continued next page)</w:t>
                  </w:r>
                </w:p>
              </w:tc>
            </w:tr>
          </w:tbl>
          <w:p w14:paraId="5E8CB7C9" w14:textId="77777777" w:rsidR="005911FB" w:rsidRDefault="005911FB" w:rsidP="00845342">
            <w:pPr>
              <w:pStyle w:val="Box"/>
            </w:pPr>
          </w:p>
        </w:tc>
      </w:tr>
      <w:tr w:rsidR="005911FB" w14:paraId="06D248ED" w14:textId="77777777" w:rsidTr="00334670">
        <w:tc>
          <w:tcPr>
            <w:tcW w:w="5000" w:type="pct"/>
            <w:tcBorders>
              <w:top w:val="nil"/>
              <w:left w:val="nil"/>
              <w:bottom w:val="single" w:sz="6" w:space="0" w:color="78A22F" w:themeColor="accent1"/>
              <w:right w:val="nil"/>
            </w:tcBorders>
            <w:shd w:val="clear" w:color="auto" w:fill="auto"/>
          </w:tcPr>
          <w:p w14:paraId="747D527C" w14:textId="77777777" w:rsidR="005911FB" w:rsidRDefault="005911FB" w:rsidP="00845342">
            <w:pPr>
              <w:pStyle w:val="Box"/>
              <w:spacing w:before="0" w:line="120" w:lineRule="exact"/>
            </w:pPr>
          </w:p>
        </w:tc>
      </w:tr>
      <w:tr w:rsidR="005911FB" w:rsidRPr="000863A5" w14:paraId="741F3293" w14:textId="77777777" w:rsidTr="00334670">
        <w:tc>
          <w:tcPr>
            <w:tcW w:w="5000" w:type="pct"/>
            <w:tcBorders>
              <w:top w:val="single" w:sz="6" w:space="0" w:color="78A22F" w:themeColor="accent1"/>
              <w:left w:val="nil"/>
              <w:bottom w:val="nil"/>
              <w:right w:val="nil"/>
            </w:tcBorders>
          </w:tcPr>
          <w:p w14:paraId="4C445289" w14:textId="6171B52B" w:rsidR="005911FB" w:rsidRPr="00626D32" w:rsidRDefault="005911FB" w:rsidP="00845342">
            <w:pPr>
              <w:pStyle w:val="BoxSpaceBelow"/>
            </w:pPr>
          </w:p>
        </w:tc>
      </w:tr>
    </w:tbl>
    <w:p w14:paraId="259E5090" w14:textId="624011A1" w:rsidR="00EA4FFB" w:rsidRDefault="00EA4FFB" w:rsidP="008453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A4FFB" w14:paraId="4101B163" w14:textId="77777777" w:rsidTr="676085C9">
        <w:trPr>
          <w:tblHeader/>
        </w:trPr>
        <w:tc>
          <w:tcPr>
            <w:tcW w:w="5000" w:type="pct"/>
            <w:tcBorders>
              <w:top w:val="single" w:sz="6" w:space="0" w:color="78A22F" w:themeColor="accent1"/>
              <w:left w:val="nil"/>
              <w:bottom w:val="nil"/>
              <w:right w:val="nil"/>
            </w:tcBorders>
            <w:shd w:val="clear" w:color="auto" w:fill="auto"/>
          </w:tcPr>
          <w:p w14:paraId="29126036" w14:textId="21BACDF6" w:rsidR="00EA4FFB" w:rsidRPr="00784A05" w:rsidRDefault="00EA4FFB" w:rsidP="00FD437C">
            <w:pPr>
              <w:pStyle w:val="TableTitle"/>
            </w:pPr>
            <w:r>
              <w:rPr>
                <w:b w:val="0"/>
              </w:rPr>
              <w:t xml:space="preserve">Table </w:t>
            </w:r>
            <w:r w:rsidR="00A16D87">
              <w:rPr>
                <w:b w:val="0"/>
              </w:rPr>
              <w:t>18.</w:t>
            </w:r>
            <w:r w:rsidR="00FD437C">
              <w:rPr>
                <w:b w:val="0"/>
              </w:rPr>
              <w:t>5</w:t>
            </w:r>
            <w:r>
              <w:rPr>
                <w:b w:val="0"/>
              </w:rPr>
              <w:tab/>
            </w:r>
            <w:r w:rsidRPr="00EA4FFB">
              <w:rPr>
                <w:b w:val="0"/>
                <w:sz w:val="18"/>
                <w:szCs w:val="18"/>
              </w:rPr>
              <w:t>(continued)</w:t>
            </w:r>
          </w:p>
        </w:tc>
      </w:tr>
      <w:tr w:rsidR="00EA4FFB" w14:paraId="6EFA3E5C" w14:textId="77777777" w:rsidTr="676085C9">
        <w:tc>
          <w:tcPr>
            <w:tcW w:w="5000" w:type="pct"/>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1134"/>
              <w:gridCol w:w="7370"/>
            </w:tblGrid>
            <w:tr w:rsidR="006E7434" w:rsidRPr="004C48F1" w14:paraId="60D01438" w14:textId="77777777" w:rsidTr="676085C9">
              <w:tc>
                <w:tcPr>
                  <w:tcW w:w="667" w:type="pct"/>
                  <w:tcBorders>
                    <w:top w:val="single" w:sz="6" w:space="0" w:color="BFBFBF" w:themeColor="background1" w:themeShade="BF"/>
                  </w:tcBorders>
                </w:tcPr>
                <w:p w14:paraId="40A595AC" w14:textId="77777777" w:rsidR="006E7434" w:rsidRDefault="006E7434" w:rsidP="006E7434">
                  <w:pPr>
                    <w:pStyle w:val="TableUnitsRow"/>
                    <w:jc w:val="left"/>
                  </w:pPr>
                </w:p>
              </w:tc>
              <w:tc>
                <w:tcPr>
                  <w:tcW w:w="4333" w:type="pct"/>
                  <w:tcBorders>
                    <w:top w:val="single" w:sz="6" w:space="0" w:color="BFBFBF" w:themeColor="background1" w:themeShade="BF"/>
                  </w:tcBorders>
                </w:tcPr>
                <w:p w14:paraId="2B6BC778" w14:textId="0BC20DB8" w:rsidR="006E7434" w:rsidRPr="004C48F1" w:rsidRDefault="353142D4" w:rsidP="006E7434">
                  <w:pPr>
                    <w:pStyle w:val="TableUnitsRow"/>
                    <w:ind w:right="28"/>
                    <w:jc w:val="both"/>
                  </w:pPr>
                  <w:r w:rsidRPr="004C48F1">
                    <w:t>Dwellings owned exclusively by the Department of</w:t>
                  </w:r>
                  <w:r w:rsidR="7E788C4D">
                    <w:t xml:space="preserve"> Housing and head leased to </w:t>
                  </w:r>
                  <w:r w:rsidR="2C395E29" w:rsidRPr="004C48F1">
                    <w:t>non</w:t>
                  </w:r>
                  <w:r w:rsidR="00262050">
                    <w:t>–</w:t>
                  </w:r>
                  <w:r w:rsidR="2C395E29" w:rsidRPr="004C48F1">
                    <w:t>profit</w:t>
                  </w:r>
                  <w:r w:rsidRPr="004C48F1">
                    <w:t xml:space="preserve"> community agencies who provide property management and/or support services to the tenants</w:t>
                  </w:r>
                </w:p>
              </w:tc>
            </w:tr>
            <w:tr w:rsidR="006E7434" w:rsidRPr="004C48F1" w14:paraId="297A84B8" w14:textId="77777777" w:rsidTr="676085C9">
              <w:tc>
                <w:tcPr>
                  <w:tcW w:w="667" w:type="pct"/>
                </w:tcPr>
                <w:p w14:paraId="29A48914" w14:textId="77777777" w:rsidR="006E7434" w:rsidRPr="004C48F1" w:rsidRDefault="006E7434" w:rsidP="006E7434">
                  <w:pPr>
                    <w:pStyle w:val="TableUnitsRow"/>
                    <w:jc w:val="left"/>
                  </w:pPr>
                </w:p>
              </w:tc>
              <w:tc>
                <w:tcPr>
                  <w:tcW w:w="4333" w:type="pct"/>
                </w:tcPr>
                <w:p w14:paraId="282B8ADA" w14:textId="24DA410D" w:rsidR="006E7434" w:rsidRPr="004C48F1" w:rsidRDefault="006E7434" w:rsidP="006E7434">
                  <w:pPr>
                    <w:pStyle w:val="TableUnitsRow"/>
                    <w:ind w:right="28"/>
                    <w:jc w:val="both"/>
                  </w:pPr>
                  <w:r w:rsidRPr="004C48F1">
                    <w:t>Dwellings where the Department of Housing has an interest or exclusive ownership</w:t>
                  </w:r>
                  <w:r w:rsidR="00DC2D10">
                    <w:t>,</w:t>
                  </w:r>
                  <w:r w:rsidRPr="004C48F1">
                    <w:t xml:space="preserve"> but the title is held by </w:t>
                  </w:r>
                  <w:r w:rsidR="00E61FED" w:rsidRPr="004C48F1">
                    <w:t>non</w:t>
                  </w:r>
                  <w:r w:rsidR="00262050">
                    <w:t>–</w:t>
                  </w:r>
                  <w:r w:rsidR="00E61FED" w:rsidRPr="004C48F1">
                    <w:t>profit</w:t>
                  </w:r>
                  <w:r w:rsidRPr="004C48F1">
                    <w:t xml:space="preserve"> community agencies or local government and they provide property management and/or support services to the tenants</w:t>
                  </w:r>
                </w:p>
              </w:tc>
            </w:tr>
            <w:tr w:rsidR="00EA4FFB" w:rsidRPr="004C48F1" w14:paraId="643D91BA" w14:textId="77777777" w:rsidTr="676085C9">
              <w:tc>
                <w:tcPr>
                  <w:tcW w:w="667" w:type="pct"/>
                </w:tcPr>
                <w:p w14:paraId="5F14F66A" w14:textId="7AB8F4D2" w:rsidR="00EA4FFB" w:rsidRPr="004C48F1" w:rsidRDefault="00EA4FFB" w:rsidP="00EA4FFB">
                  <w:pPr>
                    <w:pStyle w:val="TableUnitsRow"/>
                    <w:jc w:val="left"/>
                  </w:pPr>
                  <w:r w:rsidRPr="004C48F1">
                    <w:t>SA</w:t>
                  </w:r>
                </w:p>
              </w:tc>
              <w:tc>
                <w:tcPr>
                  <w:tcW w:w="4333" w:type="pct"/>
                </w:tcPr>
                <w:p w14:paraId="423E1F24" w14:textId="5E259B93" w:rsidR="00EA4FFB" w:rsidRPr="004C48F1" w:rsidRDefault="00EA4FFB" w:rsidP="00D20D8A">
                  <w:pPr>
                    <w:pStyle w:val="TableUnitsRow"/>
                    <w:ind w:right="28"/>
                    <w:jc w:val="both"/>
                  </w:pPr>
                  <w:r w:rsidRPr="004C48F1">
                    <w:t xml:space="preserve">All South Australia Community Housing Authority </w:t>
                  </w:r>
                  <w:r w:rsidR="00280B13" w:rsidRPr="004C48F1">
                    <w:t>f</w:t>
                  </w:r>
                  <w:r w:rsidRPr="004C48F1">
                    <w:t xml:space="preserve">unded </w:t>
                  </w:r>
                  <w:r w:rsidR="00280B13" w:rsidRPr="004C48F1">
                    <w:t>a</w:t>
                  </w:r>
                  <w:r w:rsidRPr="004C48F1">
                    <w:t xml:space="preserve">ssets allocated to a registered community housing provider under the </w:t>
                  </w:r>
                  <w:r w:rsidRPr="004C48F1">
                    <w:rPr>
                      <w:i/>
                    </w:rPr>
                    <w:t>Community Housing Providers (National Law)</w:t>
                  </w:r>
                  <w:r w:rsidRPr="004C48F1">
                    <w:t xml:space="preserve"> </w:t>
                  </w:r>
                  <w:r w:rsidR="00D20D8A" w:rsidRPr="004C48F1">
                    <w:rPr>
                      <w:i/>
                    </w:rPr>
                    <w:t>Act 2013</w:t>
                  </w:r>
                  <w:r w:rsidR="00D20D8A" w:rsidRPr="004C48F1">
                    <w:t xml:space="preserve"> </w:t>
                  </w:r>
                  <w:r w:rsidRPr="004C48F1">
                    <w:t>(SA</w:t>
                  </w:r>
                  <w:r w:rsidR="00D20D8A" w:rsidRPr="004C48F1">
                    <w:t>)</w:t>
                  </w:r>
                </w:p>
              </w:tc>
            </w:tr>
            <w:tr w:rsidR="00EA4FFB" w:rsidRPr="004C48F1" w14:paraId="297777FA" w14:textId="77777777" w:rsidTr="676085C9">
              <w:tc>
                <w:tcPr>
                  <w:tcW w:w="667" w:type="pct"/>
                </w:tcPr>
                <w:p w14:paraId="290C6AC2" w14:textId="77777777" w:rsidR="00EA4FFB" w:rsidRPr="004C48F1" w:rsidRDefault="00EA4FFB" w:rsidP="00EA4FFB">
                  <w:pPr>
                    <w:pStyle w:val="TableUnitsRow"/>
                    <w:jc w:val="left"/>
                  </w:pPr>
                </w:p>
              </w:tc>
              <w:tc>
                <w:tcPr>
                  <w:tcW w:w="4333" w:type="pct"/>
                </w:tcPr>
                <w:p w14:paraId="5C685450" w14:textId="1910864D" w:rsidR="00EA4FFB" w:rsidRPr="004C48F1" w:rsidRDefault="00EA4FFB" w:rsidP="00D20D8A">
                  <w:pPr>
                    <w:pStyle w:val="TableUnitsRow"/>
                    <w:ind w:right="28"/>
                    <w:jc w:val="both"/>
                  </w:pPr>
                  <w:r w:rsidRPr="004C48F1">
                    <w:t>All SA Housing Trust leased dwellings managed by community housing providers</w:t>
                  </w:r>
                  <w:r w:rsidR="00DE32CD" w:rsidRPr="000D0CDB">
                    <w:t xml:space="preserve"> under the</w:t>
                  </w:r>
                  <w:r w:rsidRPr="004C48F1">
                    <w:t xml:space="preserve"> </w:t>
                  </w:r>
                  <w:r w:rsidRPr="004C48F1">
                    <w:rPr>
                      <w:i/>
                    </w:rPr>
                    <w:t>Community Housing Providers (National Law) Act 2013</w:t>
                  </w:r>
                  <w:r w:rsidR="00D20D8A" w:rsidRPr="004C48F1">
                    <w:t xml:space="preserve"> (SA)</w:t>
                  </w:r>
                </w:p>
              </w:tc>
            </w:tr>
            <w:tr w:rsidR="00EA4FFB" w:rsidRPr="004C48F1" w14:paraId="01E32120" w14:textId="77777777" w:rsidTr="676085C9">
              <w:tc>
                <w:tcPr>
                  <w:tcW w:w="667" w:type="pct"/>
                </w:tcPr>
                <w:p w14:paraId="3E4EF05C" w14:textId="71DA3105" w:rsidR="00EA4FFB" w:rsidRPr="004C48F1" w:rsidRDefault="00EA4FFB" w:rsidP="00EA4FFB">
                  <w:pPr>
                    <w:pStyle w:val="TableUnitsRow"/>
                    <w:jc w:val="left"/>
                  </w:pPr>
                  <w:r w:rsidRPr="004C48F1">
                    <w:t>Tasmania</w:t>
                  </w:r>
                </w:p>
              </w:tc>
              <w:tc>
                <w:tcPr>
                  <w:tcW w:w="4333" w:type="pct"/>
                </w:tcPr>
                <w:p w14:paraId="2CC0F77C" w14:textId="34ECF161" w:rsidR="00EA4FFB" w:rsidRPr="004C48F1" w:rsidRDefault="00EA4FFB" w:rsidP="001C0B07">
                  <w:pPr>
                    <w:pStyle w:val="TableUnitsRow"/>
                    <w:ind w:right="28"/>
                    <w:jc w:val="both"/>
                  </w:pPr>
                  <w:r w:rsidRPr="004C48F1">
                    <w:t xml:space="preserve">Properties funded for the purposes of community housing, including properties transferred from public housing stock to the community sector, and properties funded under the National Rental Affordability Scheme </w:t>
                  </w:r>
                </w:p>
              </w:tc>
            </w:tr>
            <w:tr w:rsidR="00EA4FFB" w:rsidRPr="004C48F1" w14:paraId="29CE1BBC" w14:textId="77777777" w:rsidTr="676085C9">
              <w:tc>
                <w:tcPr>
                  <w:tcW w:w="667" w:type="pct"/>
                </w:tcPr>
                <w:p w14:paraId="2B657FE9" w14:textId="77777777" w:rsidR="00EA4FFB" w:rsidRPr="004C48F1" w:rsidRDefault="00EA4FFB" w:rsidP="00EA4FFB">
                  <w:pPr>
                    <w:pStyle w:val="TableBodyText"/>
                    <w:jc w:val="left"/>
                  </w:pPr>
                </w:p>
              </w:tc>
              <w:tc>
                <w:tcPr>
                  <w:tcW w:w="4333" w:type="pct"/>
                </w:tcPr>
                <w:p w14:paraId="0273A6AE" w14:textId="2D2E0426" w:rsidR="00EA4FFB" w:rsidRPr="004C48F1" w:rsidRDefault="00EA4FFB" w:rsidP="00EA4FFB">
                  <w:pPr>
                    <w:pStyle w:val="TableBodyText"/>
                    <w:ind w:right="28"/>
                    <w:jc w:val="both"/>
                  </w:pPr>
                  <w:r w:rsidRPr="004C48F1">
                    <w:t>Properties funded from the general program and leased to organisations providing non</w:t>
                  </w:r>
                  <w:r w:rsidR="00262050">
                    <w:t>–</w:t>
                  </w:r>
                  <w:r w:rsidRPr="004C48F1">
                    <w:t>crisis accommodation, such as community tenancies</w:t>
                  </w:r>
                </w:p>
              </w:tc>
            </w:tr>
            <w:tr w:rsidR="00EA4FFB" w:rsidRPr="004C48F1" w14:paraId="0B4CAD19" w14:textId="77777777" w:rsidTr="676085C9">
              <w:tc>
                <w:tcPr>
                  <w:tcW w:w="667" w:type="pct"/>
                </w:tcPr>
                <w:p w14:paraId="51A6F884" w14:textId="77777777" w:rsidR="00EA4FFB" w:rsidRPr="004C48F1" w:rsidRDefault="00EA4FFB" w:rsidP="00EA4FFB">
                  <w:pPr>
                    <w:pStyle w:val="TableBodyText"/>
                    <w:jc w:val="left"/>
                  </w:pPr>
                </w:p>
              </w:tc>
              <w:tc>
                <w:tcPr>
                  <w:tcW w:w="4333" w:type="pct"/>
                </w:tcPr>
                <w:p w14:paraId="04C4C1D5" w14:textId="0324861E" w:rsidR="00EA4FFB" w:rsidRPr="004C48F1" w:rsidRDefault="00EA4FFB" w:rsidP="001C0B07">
                  <w:pPr>
                    <w:pStyle w:val="TableBodyText"/>
                    <w:ind w:right="28"/>
                    <w:jc w:val="both"/>
                  </w:pPr>
                  <w:r w:rsidRPr="004C48F1">
                    <w:t>Properties leased by Specialist Homelessness Services agencies for transitional housing</w:t>
                  </w:r>
                </w:p>
              </w:tc>
            </w:tr>
            <w:tr w:rsidR="00EA4FFB" w:rsidRPr="004C48F1" w14:paraId="7E808672" w14:textId="77777777" w:rsidTr="676085C9">
              <w:tc>
                <w:tcPr>
                  <w:tcW w:w="667" w:type="pct"/>
                </w:tcPr>
                <w:p w14:paraId="385E63EF" w14:textId="77777777" w:rsidR="00EA4FFB" w:rsidRPr="004C48F1" w:rsidRDefault="00EA4FFB" w:rsidP="00EA4FFB">
                  <w:pPr>
                    <w:pStyle w:val="TableBodyText"/>
                    <w:jc w:val="left"/>
                  </w:pPr>
                </w:p>
              </w:tc>
              <w:tc>
                <w:tcPr>
                  <w:tcW w:w="4333" w:type="pct"/>
                </w:tcPr>
                <w:p w14:paraId="0B23FBD3" w14:textId="3A242E38" w:rsidR="00EA4FFB" w:rsidRPr="004C48F1" w:rsidRDefault="00EA4FFB" w:rsidP="00EA4FFB">
                  <w:pPr>
                    <w:pStyle w:val="TableBodyText"/>
                    <w:ind w:right="28"/>
                    <w:jc w:val="both"/>
                  </w:pPr>
                  <w:r w:rsidRPr="004C48F1">
                    <w:t>Note that this scope includes community housing that is either funded or unfunded by government</w:t>
                  </w:r>
                </w:p>
              </w:tc>
            </w:tr>
            <w:tr w:rsidR="00EA4FFB" w:rsidRPr="004C48F1" w14:paraId="17F1A784" w14:textId="77777777" w:rsidTr="676085C9">
              <w:tc>
                <w:tcPr>
                  <w:tcW w:w="667" w:type="pct"/>
                </w:tcPr>
                <w:p w14:paraId="03038B47" w14:textId="5A977A6F" w:rsidR="00EA4FFB" w:rsidRPr="004C48F1" w:rsidRDefault="00EA4FFB" w:rsidP="00EA4FFB">
                  <w:pPr>
                    <w:pStyle w:val="TableBodyText"/>
                    <w:jc w:val="left"/>
                  </w:pPr>
                  <w:r w:rsidRPr="004C48F1">
                    <w:t>ACT</w:t>
                  </w:r>
                </w:p>
              </w:tc>
              <w:tc>
                <w:tcPr>
                  <w:tcW w:w="4333" w:type="pct"/>
                </w:tcPr>
                <w:p w14:paraId="1A35AB19" w14:textId="1C8B51CB" w:rsidR="00EA4FFB" w:rsidRPr="004C48F1" w:rsidRDefault="27A41D44" w:rsidP="00EA4FFB">
                  <w:pPr>
                    <w:pStyle w:val="TableBodyText"/>
                    <w:ind w:right="28"/>
                    <w:jc w:val="both"/>
                  </w:pPr>
                  <w:r w:rsidRPr="004C48F1">
                    <w:t>Dwellings leased for the provision of community housing (</w:t>
                  </w:r>
                  <w:r w:rsidR="3264477C" w:rsidRPr="004C48F1">
                    <w:t>head</w:t>
                  </w:r>
                  <w:r w:rsidR="00262050">
                    <w:t>–</w:t>
                  </w:r>
                  <w:r w:rsidR="3264477C" w:rsidRPr="004C48F1">
                    <w:t>leasing</w:t>
                  </w:r>
                  <w:r w:rsidRPr="004C48F1">
                    <w:t>) provided the tenancy management function is undertaken by a community provider</w:t>
                  </w:r>
                </w:p>
              </w:tc>
            </w:tr>
            <w:tr w:rsidR="00EA4FFB" w:rsidRPr="004C48F1" w14:paraId="57496AC3" w14:textId="77777777" w:rsidTr="676085C9">
              <w:tc>
                <w:tcPr>
                  <w:tcW w:w="667" w:type="pct"/>
                </w:tcPr>
                <w:p w14:paraId="1BE84F77" w14:textId="77777777" w:rsidR="00EA4FFB" w:rsidRPr="004C48F1" w:rsidRDefault="00EA4FFB" w:rsidP="00EA4FFB">
                  <w:pPr>
                    <w:pStyle w:val="TableBodyText"/>
                    <w:jc w:val="left"/>
                  </w:pPr>
                </w:p>
              </w:tc>
              <w:tc>
                <w:tcPr>
                  <w:tcW w:w="4333" w:type="pct"/>
                </w:tcPr>
                <w:p w14:paraId="2AE611E6" w14:textId="5C6C69BA" w:rsidR="00EA4FFB" w:rsidRPr="004C48F1" w:rsidRDefault="00EA4FFB" w:rsidP="00EA4FFB">
                  <w:pPr>
                    <w:pStyle w:val="TableBodyText"/>
                    <w:ind w:right="28"/>
                    <w:jc w:val="both"/>
                  </w:pPr>
                  <w:r w:rsidRPr="004C48F1">
                    <w:t>Dwellings owned by Housing ACT but managed by a community housing provider</w:t>
                  </w:r>
                </w:p>
              </w:tc>
            </w:tr>
            <w:tr w:rsidR="00EA4FFB" w:rsidRPr="004C48F1" w14:paraId="54DF0810" w14:textId="77777777" w:rsidTr="676085C9">
              <w:tc>
                <w:tcPr>
                  <w:tcW w:w="667" w:type="pct"/>
                </w:tcPr>
                <w:p w14:paraId="5B9B2FBE" w14:textId="77777777" w:rsidR="00EA4FFB" w:rsidRPr="004C48F1" w:rsidRDefault="00EA4FFB" w:rsidP="00EA4FFB">
                  <w:pPr>
                    <w:pStyle w:val="TableBodyText"/>
                    <w:jc w:val="left"/>
                  </w:pPr>
                </w:p>
              </w:tc>
              <w:tc>
                <w:tcPr>
                  <w:tcW w:w="4333" w:type="pct"/>
                </w:tcPr>
                <w:p w14:paraId="14246FBB" w14:textId="505AE3C6" w:rsidR="00EA4FFB" w:rsidRPr="004C48F1" w:rsidRDefault="005D20B8" w:rsidP="00EA4FFB">
                  <w:pPr>
                    <w:pStyle w:val="TableBodyText"/>
                    <w:ind w:right="28"/>
                    <w:jc w:val="both"/>
                  </w:pPr>
                  <w:r w:rsidRPr="004C48F1">
                    <w:t>Public h</w:t>
                  </w:r>
                  <w:r w:rsidR="00EA4FFB" w:rsidRPr="004C48F1">
                    <w:t>ousing stock transferred to the community housing sector</w:t>
                  </w:r>
                </w:p>
              </w:tc>
            </w:tr>
            <w:tr w:rsidR="00EA4FFB" w:rsidRPr="004C48F1" w14:paraId="277B55E4" w14:textId="77777777" w:rsidTr="676085C9">
              <w:tc>
                <w:tcPr>
                  <w:tcW w:w="667" w:type="pct"/>
                </w:tcPr>
                <w:p w14:paraId="2BA8384B" w14:textId="77777777" w:rsidR="00EA4FFB" w:rsidRPr="004C48F1" w:rsidRDefault="00EA4FFB" w:rsidP="00EA4FFB">
                  <w:pPr>
                    <w:pStyle w:val="TableBodyText"/>
                    <w:jc w:val="left"/>
                  </w:pPr>
                </w:p>
              </w:tc>
              <w:tc>
                <w:tcPr>
                  <w:tcW w:w="4333" w:type="pct"/>
                </w:tcPr>
                <w:p w14:paraId="7881D2A7" w14:textId="2535BC3D" w:rsidR="00EA4FFB" w:rsidRPr="004C48F1" w:rsidRDefault="00EA4FFB" w:rsidP="00EA4FFB">
                  <w:pPr>
                    <w:pStyle w:val="TableBodyText"/>
                    <w:ind w:right="28"/>
                    <w:jc w:val="both"/>
                  </w:pPr>
                  <w:r w:rsidRPr="004C48F1">
                    <w:t>Community housing stock built under the National Partnership Agreement on the Nation Building Economic Stimulus Package</w:t>
                  </w:r>
                </w:p>
              </w:tc>
            </w:tr>
            <w:tr w:rsidR="0019479E" w:rsidRPr="004C48F1" w14:paraId="582A920D" w14:textId="77777777" w:rsidTr="676085C9">
              <w:tc>
                <w:tcPr>
                  <w:tcW w:w="667" w:type="pct"/>
                </w:tcPr>
                <w:p w14:paraId="48D39D9A" w14:textId="77777777" w:rsidR="0019479E" w:rsidRPr="004C48F1" w:rsidRDefault="0019479E" w:rsidP="00EA4FFB">
                  <w:pPr>
                    <w:pStyle w:val="TableBodyText"/>
                    <w:jc w:val="left"/>
                  </w:pPr>
                </w:p>
              </w:tc>
              <w:tc>
                <w:tcPr>
                  <w:tcW w:w="4333" w:type="pct"/>
                </w:tcPr>
                <w:p w14:paraId="4988F060" w14:textId="77777777" w:rsidR="0019479E" w:rsidRDefault="0019479E" w:rsidP="00EA4FFB">
                  <w:pPr>
                    <w:pStyle w:val="TableBodyText"/>
                    <w:ind w:right="28"/>
                    <w:jc w:val="both"/>
                  </w:pPr>
                  <w:r w:rsidRPr="004C48F1">
                    <w:t>Community housing funded under the National Rental Affordability Scheme or other affordable housing arrangements.</w:t>
                  </w:r>
                </w:p>
                <w:p w14:paraId="0C4001CB" w14:textId="77777777" w:rsidR="00AF0846" w:rsidRDefault="00AF0846" w:rsidP="00B71131">
                  <w:pPr>
                    <w:pStyle w:val="TableBodyText"/>
                    <w:ind w:right="28"/>
                    <w:jc w:val="both"/>
                  </w:pPr>
                  <w:r>
                    <w:t>Organisations registered under the National Community Housing Regulatory Scheme except those where an exclusion applies to the organisation or program.</w:t>
                  </w:r>
                </w:p>
                <w:p w14:paraId="7951F4D5" w14:textId="4F51B635" w:rsidR="00AF0846" w:rsidRPr="004C48F1" w:rsidRDefault="00AF0846" w:rsidP="00B71131">
                  <w:pPr>
                    <w:pStyle w:val="TableBodyText"/>
                    <w:ind w:right="28"/>
                    <w:jc w:val="both"/>
                  </w:pPr>
                  <w:r>
                    <w:t>Common Ground housing that provides long</w:t>
                  </w:r>
                  <w:r w:rsidR="00262050">
                    <w:t>–</w:t>
                  </w:r>
                  <w:r>
                    <w:t>term housing at affordable (proportion of market) rent settings and long</w:t>
                  </w:r>
                  <w:r w:rsidR="00262050">
                    <w:t>–</w:t>
                  </w:r>
                  <w:r>
                    <w:t>term housing for people exiting homelessness.</w:t>
                  </w:r>
                </w:p>
              </w:tc>
            </w:tr>
            <w:tr w:rsidR="00EA4FFB" w14:paraId="56BFCAD6" w14:textId="77777777" w:rsidTr="676085C9">
              <w:tc>
                <w:tcPr>
                  <w:tcW w:w="667" w:type="pct"/>
                  <w:tcBorders>
                    <w:bottom w:val="single" w:sz="6" w:space="0" w:color="BFBFBF" w:themeColor="background1" w:themeShade="BF"/>
                  </w:tcBorders>
                </w:tcPr>
                <w:p w14:paraId="4575BE5F" w14:textId="0040EAA4" w:rsidR="00EA4FFB" w:rsidRPr="004C48F1" w:rsidRDefault="00EA4FFB" w:rsidP="00EA4FFB">
                  <w:pPr>
                    <w:pStyle w:val="TableBodyText"/>
                    <w:jc w:val="left"/>
                  </w:pPr>
                  <w:r w:rsidRPr="004C48F1">
                    <w:t>NT</w:t>
                  </w:r>
                </w:p>
              </w:tc>
              <w:tc>
                <w:tcPr>
                  <w:tcW w:w="4333" w:type="pct"/>
                  <w:tcBorders>
                    <w:bottom w:val="single" w:sz="6" w:space="0" w:color="BFBFBF" w:themeColor="background1" w:themeShade="BF"/>
                  </w:tcBorders>
                </w:tcPr>
                <w:p w14:paraId="67C38D7F" w14:textId="77777777" w:rsidR="0019479E" w:rsidRPr="004C48F1" w:rsidRDefault="0019479E" w:rsidP="0019479E">
                  <w:pPr>
                    <w:pStyle w:val="TableBodyText"/>
                    <w:ind w:right="28"/>
                    <w:jc w:val="both"/>
                  </w:pPr>
                  <w:r w:rsidRPr="004C48F1">
                    <w:t>Dwellings owned or leased by the Department of Local Government, Housing and Community Development and managed by community organisations to house and support tenants, and any dwellings set aside for this purpose.</w:t>
                  </w:r>
                </w:p>
                <w:p w14:paraId="11E9F099" w14:textId="54184190" w:rsidR="00EA4FFB" w:rsidRDefault="0019479E" w:rsidP="0019479E">
                  <w:pPr>
                    <w:pStyle w:val="TableBodyText"/>
                    <w:ind w:right="28"/>
                    <w:jc w:val="both"/>
                  </w:pPr>
                  <w:r w:rsidRPr="004C48F1">
                    <w:t>This includes dwellings allocated to the Community Housing Program and transitional accommodation programs.</w:t>
                  </w:r>
                </w:p>
              </w:tc>
            </w:tr>
          </w:tbl>
          <w:p w14:paraId="17994BB6" w14:textId="77777777" w:rsidR="00EA4FFB" w:rsidRDefault="00EA4FFB" w:rsidP="00845342">
            <w:pPr>
              <w:pStyle w:val="Box"/>
            </w:pPr>
          </w:p>
        </w:tc>
      </w:tr>
      <w:tr w:rsidR="00EA4FFB" w14:paraId="7308DC18" w14:textId="77777777" w:rsidTr="676085C9">
        <w:tc>
          <w:tcPr>
            <w:tcW w:w="5000" w:type="pct"/>
            <w:tcBorders>
              <w:top w:val="nil"/>
              <w:left w:val="nil"/>
              <w:bottom w:val="nil"/>
              <w:right w:val="nil"/>
            </w:tcBorders>
            <w:shd w:val="clear" w:color="auto" w:fill="auto"/>
          </w:tcPr>
          <w:p w14:paraId="4086160E" w14:textId="0755D212" w:rsidR="00EA4FFB" w:rsidRDefault="00F916DB" w:rsidP="00F916DB">
            <w:pPr>
              <w:pStyle w:val="Source"/>
            </w:pPr>
            <w:r>
              <w:rPr>
                <w:i/>
              </w:rPr>
              <w:t>Source</w:t>
            </w:r>
            <w:r w:rsidR="00EA4FFB" w:rsidRPr="00167F06">
              <w:t xml:space="preserve">: </w:t>
            </w:r>
            <w:r w:rsidRPr="00232C69">
              <w:rPr>
                <w:szCs w:val="18"/>
              </w:rPr>
              <w:t>AIHW (unpublished).</w:t>
            </w:r>
          </w:p>
        </w:tc>
      </w:tr>
      <w:tr w:rsidR="00EA4FFB" w14:paraId="6314B25A" w14:textId="77777777" w:rsidTr="676085C9">
        <w:tc>
          <w:tcPr>
            <w:tcW w:w="5000" w:type="pct"/>
            <w:tcBorders>
              <w:top w:val="nil"/>
              <w:left w:val="nil"/>
              <w:bottom w:val="single" w:sz="6" w:space="0" w:color="78A22F" w:themeColor="accent1"/>
              <w:right w:val="nil"/>
            </w:tcBorders>
            <w:shd w:val="clear" w:color="auto" w:fill="auto"/>
          </w:tcPr>
          <w:p w14:paraId="35F069B9" w14:textId="77777777" w:rsidR="00EA4FFB" w:rsidRDefault="00EA4FFB" w:rsidP="00845342">
            <w:pPr>
              <w:pStyle w:val="Box"/>
              <w:spacing w:before="0" w:line="120" w:lineRule="exact"/>
            </w:pPr>
          </w:p>
        </w:tc>
      </w:tr>
      <w:tr w:rsidR="00EA4FFB" w:rsidRPr="000863A5" w14:paraId="3D067A9B" w14:textId="77777777" w:rsidTr="676085C9">
        <w:tc>
          <w:tcPr>
            <w:tcW w:w="5000" w:type="pct"/>
            <w:tcBorders>
              <w:top w:val="single" w:sz="6" w:space="0" w:color="78A22F" w:themeColor="accent1"/>
              <w:left w:val="nil"/>
              <w:bottom w:val="nil"/>
              <w:right w:val="nil"/>
            </w:tcBorders>
          </w:tcPr>
          <w:p w14:paraId="2C0AFFDD" w14:textId="4EF1339D" w:rsidR="00EA4FFB" w:rsidRPr="00626D32" w:rsidRDefault="00EA4FFB" w:rsidP="00845342">
            <w:pPr>
              <w:pStyle w:val="BoxSpaceBelow"/>
            </w:pPr>
          </w:p>
        </w:tc>
      </w:tr>
    </w:tbl>
    <w:p w14:paraId="50C7A2F4" w14:textId="3DF7BED9" w:rsidR="004B2A15" w:rsidRPr="004B2A15" w:rsidRDefault="00060D89" w:rsidP="00F916DB">
      <w:pPr>
        <w:pStyle w:val="Heading2"/>
      </w:pPr>
      <w:bookmarkStart w:id="8" w:name="_Toc27564451"/>
      <w:r>
        <w:t>18.2</w:t>
      </w:r>
      <w:r w:rsidR="00536344">
        <w:tab/>
      </w:r>
      <w:r w:rsidR="00F23046">
        <w:t>I</w:t>
      </w:r>
      <w:r w:rsidR="004B2A15" w:rsidRPr="004B2A15">
        <w:t>ndicators</w:t>
      </w:r>
      <w:bookmarkEnd w:id="8"/>
    </w:p>
    <w:p w14:paraId="15C34DEC" w14:textId="6287EA5A" w:rsidR="004B2A15" w:rsidRDefault="004B2A15" w:rsidP="004B2A15">
      <w:pPr>
        <w:pStyle w:val="BodyText"/>
      </w:pPr>
      <w:r>
        <w:t xml:space="preserve">Different delivery contexts, locations and types of clients can affect the equity, effectiveness and </w:t>
      </w:r>
      <w:r w:rsidRPr="000549CB">
        <w:t xml:space="preserve">efficiency </w:t>
      </w:r>
      <w:r w:rsidR="000C0B75" w:rsidRPr="000549CB">
        <w:t>of social housing services</w:t>
      </w:r>
      <w:r w:rsidRPr="000549CB">
        <w:t>.</w:t>
      </w:r>
    </w:p>
    <w:p w14:paraId="00912411" w14:textId="200DE140" w:rsidR="004B2A15" w:rsidRDefault="004B2A15" w:rsidP="004B2A15">
      <w:pPr>
        <w:pStyle w:val="BodyText"/>
      </w:pPr>
      <w:r>
        <w:t xml:space="preserve">The comparability of performance indicator results </w:t>
      </w:r>
      <w:r w:rsidR="00EA5B0D">
        <w:t>is</w:t>
      </w:r>
      <w:r>
        <w:t xml:space="preserve"> shaded in indicator interpretation boxes, figures and data tables as follows:</w:t>
      </w:r>
    </w:p>
    <w:p w14:paraId="5B213EAC"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256E238E" w14:textId="77777777" w:rsidR="004B2A15" w:rsidRDefault="00F90583" w:rsidP="00F90583">
      <w:pPr>
        <w:pStyle w:val="BodyText"/>
      </w:pPr>
      <w:r w:rsidRPr="00057E12">
        <w:rPr>
          <w:shd w:val="clear" w:color="auto" w:fill="FCDED3"/>
        </w:rPr>
        <w:lastRenderedPageBreak/>
        <w:t xml:space="preserve">    </w:t>
      </w:r>
      <w:r w:rsidR="004B2A15">
        <w:t xml:space="preserve"> Data are either not comparable (subject to caveats) within jurisdictions over time or are not comparable across jurisdictions or both.</w:t>
      </w:r>
    </w:p>
    <w:p w14:paraId="0D56C014" w14:textId="15F1230D" w:rsidR="004B2A15" w:rsidRDefault="004B2A15" w:rsidP="004B2A15">
      <w:pPr>
        <w:pStyle w:val="BodyText"/>
      </w:pPr>
      <w:r>
        <w:t xml:space="preserve">The completeness of performance indicator results </w:t>
      </w:r>
      <w:r w:rsidR="00EA5B0D">
        <w:t>is</w:t>
      </w:r>
      <w:r>
        <w:t xml:space="preserve"> shaded in indicator interpretation boxes, figures and data tables as follows:</w:t>
      </w:r>
    </w:p>
    <w:p w14:paraId="5413694D"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07BB84FE" w14:textId="406D7120"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3FE9CBD5" w14:textId="3348DD5C" w:rsidR="004B2A15" w:rsidRDefault="004B2A15" w:rsidP="00451F18">
      <w:pPr>
        <w:pStyle w:val="Heading3"/>
        <w:tabs>
          <w:tab w:val="left" w:pos="5600"/>
        </w:tabs>
      </w:pPr>
      <w:bookmarkStart w:id="9" w:name="_Toc27564452"/>
      <w:r>
        <w:t>Outputs</w:t>
      </w:r>
      <w:bookmarkEnd w:id="9"/>
      <w:r w:rsidR="00451F18">
        <w:tab/>
      </w:r>
    </w:p>
    <w:p w14:paraId="073D6FC4" w14:textId="6CF4BF97" w:rsidR="004B2A15" w:rsidRDefault="004B2A15" w:rsidP="004B2A15">
      <w:pPr>
        <w:pStyle w:val="BodyText"/>
      </w:pPr>
      <w:r>
        <w:t>Outputs are the actual services delivered (while outcomes are the impact of these services on the status of an individual or group) (see section</w:t>
      </w:r>
      <w:r w:rsidR="00C47BFD">
        <w:t> </w:t>
      </w:r>
      <w:r>
        <w:t>1). Output information is also critical for equitable, efficient and effective management of government services.</w:t>
      </w:r>
    </w:p>
    <w:p w14:paraId="5AF56D52" w14:textId="77777777" w:rsidR="00F90583" w:rsidRPr="00E00B00" w:rsidRDefault="00F90583" w:rsidP="00F90583">
      <w:pPr>
        <w:pStyle w:val="Heading3"/>
      </w:pPr>
      <w:bookmarkStart w:id="10" w:name="_Toc3322818"/>
      <w:bookmarkStart w:id="11" w:name="_Toc27564453"/>
      <w:r>
        <w:t>Equity</w:t>
      </w:r>
      <w:bookmarkEnd w:id="10"/>
      <w:bookmarkEnd w:id="11"/>
    </w:p>
    <w:p w14:paraId="146FC8B2" w14:textId="6CE86E8B" w:rsidR="00F90583" w:rsidRDefault="00F90583" w:rsidP="00F90583">
      <w:pPr>
        <w:pStyle w:val="Heading4"/>
      </w:pPr>
      <w:bookmarkStart w:id="12" w:name="_Toc3322819"/>
      <w:bookmarkStart w:id="13" w:name="_Toc27564454"/>
      <w:r>
        <w:t>Access —</w:t>
      </w:r>
      <w:r w:rsidR="00E53002">
        <w:t xml:space="preserve"> </w:t>
      </w:r>
      <w:r w:rsidR="00E53002" w:rsidRPr="00E53002">
        <w:t>Priority access to those in greatest need</w:t>
      </w:r>
      <w:bookmarkEnd w:id="12"/>
      <w:bookmarkEnd w:id="13"/>
    </w:p>
    <w:p w14:paraId="35393B0E" w14:textId="4F4A8975" w:rsidR="00901032" w:rsidRPr="00E53002" w:rsidRDefault="00E53002" w:rsidP="00E53002">
      <w:pPr>
        <w:pStyle w:val="BodyText"/>
      </w:pPr>
      <w:r w:rsidRPr="00E53002">
        <w:t>‘Priority access to those in greatest need’ is a proxy indicator of governments’ objective to provide services in an equitable manner (box</w:t>
      </w:r>
      <w:r w:rsidR="00C47BFD">
        <w:t> </w:t>
      </w:r>
      <w:r w:rsidRPr="00E53002">
        <w:t>18.1).</w:t>
      </w:r>
    </w:p>
    <w:p w14:paraId="1F730957" w14:textId="1655FDFB" w:rsidR="00F90583"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1F6B2364" w14:textId="77777777" w:rsidTr="00A4323F">
        <w:trPr>
          <w:tblHeader/>
        </w:trPr>
        <w:tc>
          <w:tcPr>
            <w:tcW w:w="5000" w:type="pct"/>
            <w:tcBorders>
              <w:top w:val="single" w:sz="6" w:space="0" w:color="78A22F"/>
              <w:left w:val="nil"/>
              <w:bottom w:val="nil"/>
              <w:right w:val="nil"/>
            </w:tcBorders>
            <w:shd w:val="clear" w:color="auto" w:fill="F2F2F2"/>
          </w:tcPr>
          <w:p w14:paraId="1B3A1CAF" w14:textId="3A8F7600" w:rsidR="00F90583" w:rsidRDefault="00F90583" w:rsidP="00E53002">
            <w:pPr>
              <w:pStyle w:val="BoxTitle"/>
            </w:pPr>
            <w:r>
              <w:rPr>
                <w:b w:val="0"/>
              </w:rPr>
              <w:t xml:space="preserve">Box </w:t>
            </w:r>
            <w:r w:rsidR="000C7D74">
              <w:rPr>
                <w:b w:val="0"/>
              </w:rPr>
              <w:t>18.</w:t>
            </w:r>
            <w:r w:rsidR="004F1E16">
              <w:rPr>
                <w:b w:val="0"/>
                <w:noProof/>
              </w:rPr>
              <w:t>1</w:t>
            </w:r>
            <w:r>
              <w:tab/>
            </w:r>
            <w:r w:rsidR="00E53002" w:rsidRPr="00E53002">
              <w:t>Priority access to those in greatest need</w:t>
            </w:r>
          </w:p>
        </w:tc>
      </w:tr>
      <w:tr w:rsidR="00F90583" w14:paraId="7611E5FD" w14:textId="77777777" w:rsidTr="00A4323F">
        <w:tc>
          <w:tcPr>
            <w:tcW w:w="5000" w:type="pct"/>
            <w:tcBorders>
              <w:top w:val="nil"/>
              <w:left w:val="nil"/>
              <w:bottom w:val="nil"/>
              <w:right w:val="nil"/>
            </w:tcBorders>
            <w:shd w:val="clear" w:color="auto" w:fill="F2F2F2"/>
          </w:tcPr>
          <w:p w14:paraId="6E255FCC" w14:textId="77777777" w:rsidR="00E53002" w:rsidRDefault="00E53002" w:rsidP="00E53002">
            <w:pPr>
              <w:pStyle w:val="Box"/>
            </w:pPr>
            <w:r>
              <w:t>‘Priority access to those in greatest need’ is defined as the proportion of new housing allocations that were to households in greatest need.</w:t>
            </w:r>
          </w:p>
          <w:p w14:paraId="2AD918AF" w14:textId="77777777" w:rsidR="00E53002" w:rsidRDefault="00E53002" w:rsidP="00E53002">
            <w:pPr>
              <w:pStyle w:val="Box"/>
            </w:pPr>
            <w:r>
              <w:t>Greatest need households are defined as households that at the time of allocation are homeless, in housing inappropriate to their needs, in housing that is adversely affecting their health or placing their life and safety at risk, or, have very high rental housing costs.</w:t>
            </w:r>
          </w:p>
          <w:p w14:paraId="6C39878C" w14:textId="06103321" w:rsidR="00F90583" w:rsidRDefault="00E53002" w:rsidP="00F95C26">
            <w:pPr>
              <w:pStyle w:val="Box"/>
            </w:pPr>
            <w:r>
              <w:t xml:space="preserve">This is a partial proxy indicator as information is not provided about the proportion of households on the waiting list that are ‘greatest need’ households. Households that are in greatest need are more likely to have members </w:t>
            </w:r>
            <w:r w:rsidR="00F72D47" w:rsidRPr="00F72D47">
              <w:t>in selected equity groups</w:t>
            </w:r>
            <w:r>
              <w:t xml:space="preserve">, and there may be overlap between </w:t>
            </w:r>
            <w:r w:rsidR="00F72D47" w:rsidRPr="00F72D47">
              <w:t>selected equity groups</w:t>
            </w:r>
            <w:r>
              <w:t xml:space="preserve"> and greatest need groups (AIHW 20</w:t>
            </w:r>
            <w:r w:rsidR="003D09D1">
              <w:t>2</w:t>
            </w:r>
            <w:r w:rsidR="007A6BFB">
              <w:t>1</w:t>
            </w:r>
            <w:r>
              <w:t>). A high or increasing proportion, particularly for short timeframes, may indicate a high degree of access for those households in greatest need.</w:t>
            </w:r>
          </w:p>
        </w:tc>
      </w:tr>
      <w:tr w:rsidR="00F95C26" w:rsidRPr="00ED061E" w14:paraId="4BF0E7BC" w14:textId="77777777" w:rsidTr="0053407F">
        <w:tc>
          <w:tcPr>
            <w:tcW w:w="5000" w:type="pct"/>
            <w:tcBorders>
              <w:top w:val="nil"/>
              <w:left w:val="nil"/>
              <w:bottom w:val="nil"/>
              <w:right w:val="nil"/>
            </w:tcBorders>
            <w:shd w:val="clear" w:color="auto" w:fill="F2F2F2"/>
          </w:tcPr>
          <w:p w14:paraId="42AEEE18" w14:textId="77777777" w:rsidR="00F95C26" w:rsidRPr="00ED061E" w:rsidRDefault="00F95C26" w:rsidP="0053407F">
            <w:pPr>
              <w:pStyle w:val="BoxSource"/>
              <w:spacing w:after="120" w:line="240" w:lineRule="auto"/>
              <w:jc w:val="right"/>
            </w:pPr>
            <w:r w:rsidRPr="00ED061E">
              <w:t>(continued next page)</w:t>
            </w:r>
          </w:p>
        </w:tc>
      </w:tr>
      <w:tr w:rsidR="00F90583" w14:paraId="50AEF62D" w14:textId="77777777" w:rsidTr="00A4323F">
        <w:tc>
          <w:tcPr>
            <w:tcW w:w="5000" w:type="pct"/>
            <w:tcBorders>
              <w:top w:val="nil"/>
              <w:left w:val="nil"/>
              <w:bottom w:val="single" w:sz="6" w:space="0" w:color="78A22F"/>
              <w:right w:val="nil"/>
            </w:tcBorders>
            <w:shd w:val="clear" w:color="auto" w:fill="F2F2F2"/>
          </w:tcPr>
          <w:p w14:paraId="27B11CEA" w14:textId="77777777" w:rsidR="00F90583" w:rsidRDefault="00F90583">
            <w:pPr>
              <w:pStyle w:val="Box"/>
              <w:spacing w:before="0" w:line="120" w:lineRule="exact"/>
            </w:pPr>
          </w:p>
        </w:tc>
      </w:tr>
      <w:tr w:rsidR="00F90583" w:rsidRPr="000863A5" w14:paraId="6C2659EC" w14:textId="77777777" w:rsidTr="00A4323F">
        <w:tc>
          <w:tcPr>
            <w:tcW w:w="5000" w:type="pct"/>
            <w:tcBorders>
              <w:top w:val="single" w:sz="6" w:space="0" w:color="78A22F"/>
              <w:left w:val="nil"/>
              <w:bottom w:val="nil"/>
              <w:right w:val="nil"/>
            </w:tcBorders>
          </w:tcPr>
          <w:p w14:paraId="63270CE3" w14:textId="7BFD47E4" w:rsidR="00F90583" w:rsidRPr="00626D32" w:rsidRDefault="00F90583" w:rsidP="00A4323F">
            <w:pPr>
              <w:pStyle w:val="BoxSpaceBelow"/>
            </w:pPr>
          </w:p>
        </w:tc>
      </w:tr>
    </w:tbl>
    <w:p w14:paraId="5CCAF6BF" w14:textId="77777777" w:rsidR="00684F06" w:rsidRDefault="00684F06" w:rsidP="00684F06">
      <w:pPr>
        <w:pStyle w:val="BoxSpaceAbove"/>
      </w:pPr>
      <w:bookmarkStart w:id="14" w:name="_Toc18675358"/>
      <w:bookmarkStart w:id="15" w:name="_Toc2756445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4F06" w14:paraId="61AD745B" w14:textId="77777777" w:rsidTr="0053407F">
        <w:trPr>
          <w:tblHeader/>
        </w:trPr>
        <w:tc>
          <w:tcPr>
            <w:tcW w:w="5000" w:type="pct"/>
            <w:tcBorders>
              <w:top w:val="single" w:sz="6" w:space="0" w:color="78A22F"/>
              <w:left w:val="nil"/>
              <w:bottom w:val="nil"/>
              <w:right w:val="nil"/>
            </w:tcBorders>
            <w:shd w:val="clear" w:color="auto" w:fill="F2F2F2"/>
          </w:tcPr>
          <w:p w14:paraId="7168EF33" w14:textId="64AE045E" w:rsidR="00684F06" w:rsidRDefault="00684F06" w:rsidP="0053407F">
            <w:pPr>
              <w:pStyle w:val="BoxTitle"/>
            </w:pPr>
            <w:r>
              <w:rPr>
                <w:b w:val="0"/>
              </w:rPr>
              <w:t>Box 18.</w:t>
            </w:r>
            <w:r>
              <w:rPr>
                <w:b w:val="0"/>
                <w:noProof/>
              </w:rPr>
              <w:t>1</w:t>
            </w:r>
            <w:r>
              <w:tab/>
            </w:r>
            <w:r w:rsidR="00F42891">
              <w:rPr>
                <w:b w:val="0"/>
                <w:sz w:val="18"/>
                <w:szCs w:val="18"/>
              </w:rPr>
              <w:t>(c</w:t>
            </w:r>
            <w:r w:rsidR="00F42891" w:rsidRPr="00ED061E">
              <w:rPr>
                <w:b w:val="0"/>
                <w:sz w:val="18"/>
                <w:szCs w:val="18"/>
              </w:rPr>
              <w:t>ontinued</w:t>
            </w:r>
            <w:r w:rsidR="00F42891">
              <w:rPr>
                <w:b w:val="0"/>
                <w:sz w:val="18"/>
                <w:szCs w:val="18"/>
              </w:rPr>
              <w:t>)</w:t>
            </w:r>
          </w:p>
        </w:tc>
      </w:tr>
      <w:tr w:rsidR="00684F06" w14:paraId="7A05CF83" w14:textId="77777777" w:rsidTr="0053407F">
        <w:tc>
          <w:tcPr>
            <w:tcW w:w="5000" w:type="pct"/>
            <w:tcBorders>
              <w:top w:val="nil"/>
              <w:left w:val="nil"/>
              <w:bottom w:val="nil"/>
              <w:right w:val="nil"/>
            </w:tcBorders>
            <w:shd w:val="clear" w:color="auto" w:fill="F2F2F2"/>
          </w:tcPr>
          <w:p w14:paraId="6352102A" w14:textId="77777777" w:rsidR="00684F06" w:rsidRDefault="00684F06" w:rsidP="0053407F">
            <w:pPr>
              <w:pStyle w:val="Box"/>
            </w:pPr>
            <w:r w:rsidRPr="00956E84">
              <w:t xml:space="preserve">Data for this </w:t>
            </w:r>
            <w:r>
              <w:t>measure</w:t>
            </w:r>
            <w:r w:rsidRPr="00956E84">
              <w:t xml:space="preserve"> are reported for public housing, SOMIH and community housing</w:t>
            </w:r>
            <w:r>
              <w:t xml:space="preserve"> and</w:t>
            </w:r>
            <w:r w:rsidRPr="00956E84">
              <w:t xml:space="preserve"> are:</w:t>
            </w:r>
          </w:p>
          <w:p w14:paraId="5E430D13" w14:textId="77777777" w:rsidR="00684F06" w:rsidRDefault="00684F06" w:rsidP="0053407F">
            <w:pPr>
              <w:pStyle w:val="BoxListBullet"/>
              <w:numPr>
                <w:ilvl w:val="0"/>
                <w:numId w:val="0"/>
              </w:numPr>
              <w:ind w:left="284"/>
            </w:pPr>
            <w:r w:rsidRPr="00C66F12">
              <w:rPr>
                <w:shd w:val="clear" w:color="auto" w:fill="FCDED3"/>
              </w:rPr>
              <w:t xml:space="preserve">    </w:t>
            </w:r>
            <w:r>
              <w:t xml:space="preserve"> </w:t>
            </w:r>
            <w:r w:rsidRPr="00514836">
              <w:t xml:space="preserve">not comparable across public housing, SOMIH and community housing and not comparable across jurisdictions or within some jurisdictions over time (see caveats in </w:t>
            </w:r>
            <w:r>
              <w:t>data</w:t>
            </w:r>
            <w:r w:rsidRPr="00514836">
              <w:t xml:space="preserve"> tables for specific jurisdictions)</w:t>
            </w:r>
          </w:p>
          <w:p w14:paraId="4D59685E" w14:textId="77777777" w:rsidR="00684F06" w:rsidRDefault="00684F06" w:rsidP="0053407F">
            <w:pPr>
              <w:pStyle w:val="BoxListBullet"/>
              <w:numPr>
                <w:ilvl w:val="0"/>
                <w:numId w:val="0"/>
              </w:numPr>
              <w:ind w:left="284"/>
            </w:pPr>
            <w:r w:rsidRPr="00C66F12">
              <w:rPr>
                <w:shd w:val="clear" w:color="auto" w:fill="FCDED3"/>
              </w:rPr>
              <w:t xml:space="preserve">    </w:t>
            </w:r>
            <w:r>
              <w:t xml:space="preserve"> </w:t>
            </w:r>
            <w:r w:rsidRPr="003336F0">
              <w:t>incomplete for SOMIH and community housing for the current reporting period</w:t>
            </w:r>
            <w:r>
              <w:t xml:space="preserve"> (</w:t>
            </w:r>
            <w:r w:rsidRPr="00514836">
              <w:t xml:space="preserve">complete for public housing). </w:t>
            </w:r>
            <w:r w:rsidRPr="003336F0">
              <w:t xml:space="preserve">All required </w:t>
            </w:r>
            <w:r>
              <w:t>2020</w:t>
            </w:r>
            <w:r w:rsidRPr="00360576">
              <w:noBreakHyphen/>
            </w:r>
            <w:r>
              <w:t>21</w:t>
            </w:r>
            <w:r w:rsidRPr="00360576">
              <w:t xml:space="preserve"> </w:t>
            </w:r>
            <w:r w:rsidRPr="003336F0">
              <w:t>data are not available for</w:t>
            </w:r>
            <w:r>
              <w:t xml:space="preserve"> </w:t>
            </w:r>
            <w:r w:rsidRPr="008E0D3A">
              <w:t>Tasmania (SOMIH) and the NT (</w:t>
            </w:r>
            <w:r w:rsidRPr="00F960D2">
              <w:t>SOMIH and community housing).</w:t>
            </w:r>
          </w:p>
        </w:tc>
      </w:tr>
      <w:tr w:rsidR="00684F06" w14:paraId="5648AD30" w14:textId="77777777" w:rsidTr="0053407F">
        <w:tc>
          <w:tcPr>
            <w:tcW w:w="5000" w:type="pct"/>
            <w:tcBorders>
              <w:top w:val="nil"/>
              <w:left w:val="nil"/>
              <w:bottom w:val="single" w:sz="6" w:space="0" w:color="78A22F"/>
              <w:right w:val="nil"/>
            </w:tcBorders>
            <w:shd w:val="clear" w:color="auto" w:fill="F2F2F2"/>
          </w:tcPr>
          <w:p w14:paraId="4BF6CDF9" w14:textId="77777777" w:rsidR="00684F06" w:rsidRDefault="00684F06" w:rsidP="0053407F">
            <w:pPr>
              <w:pStyle w:val="Box"/>
              <w:spacing w:before="0" w:line="120" w:lineRule="exact"/>
            </w:pPr>
          </w:p>
        </w:tc>
      </w:tr>
      <w:tr w:rsidR="00684F06" w:rsidRPr="000863A5" w14:paraId="636E791D" w14:textId="77777777" w:rsidTr="0053407F">
        <w:tc>
          <w:tcPr>
            <w:tcW w:w="5000" w:type="pct"/>
            <w:tcBorders>
              <w:top w:val="single" w:sz="6" w:space="0" w:color="78A22F"/>
              <w:left w:val="nil"/>
              <w:bottom w:val="nil"/>
              <w:right w:val="nil"/>
            </w:tcBorders>
          </w:tcPr>
          <w:p w14:paraId="3D28DB36" w14:textId="77777777" w:rsidR="00684F06" w:rsidRPr="00626D32" w:rsidRDefault="00684F06" w:rsidP="0053407F">
            <w:pPr>
              <w:pStyle w:val="BoxSpaceBelow"/>
            </w:pPr>
          </w:p>
        </w:tc>
      </w:tr>
    </w:tbl>
    <w:p w14:paraId="23674E64" w14:textId="4E6F18C9" w:rsidR="00E53002" w:rsidRDefault="00E53002" w:rsidP="00E53002">
      <w:pPr>
        <w:pStyle w:val="Heading4"/>
      </w:pPr>
      <w:r>
        <w:t xml:space="preserve">Access — </w:t>
      </w:r>
      <w:bookmarkEnd w:id="14"/>
      <w:bookmarkEnd w:id="15"/>
      <w:r w:rsidR="009F0DB8">
        <w:t>Selected equity groups</w:t>
      </w:r>
    </w:p>
    <w:p w14:paraId="4D370F18" w14:textId="2610BB61" w:rsidR="00E53002" w:rsidRDefault="00E53002" w:rsidP="00E53002">
      <w:pPr>
        <w:pStyle w:val="BodyText"/>
      </w:pPr>
      <w:r>
        <w:t>Access of ‘</w:t>
      </w:r>
      <w:r w:rsidR="009F0DB8">
        <w:t>s</w:t>
      </w:r>
      <w:r w:rsidR="009F0DB8" w:rsidRPr="009F0DB8">
        <w:t>elected equity groups</w:t>
      </w:r>
      <w:r>
        <w:t xml:space="preserve">’ to social housing </w:t>
      </w:r>
      <w:r w:rsidRPr="00A34FFE">
        <w:t>is an indicator of governments’ objective to provide</w:t>
      </w:r>
      <w:r>
        <w:t xml:space="preserve"> services in an equitable manner</w:t>
      </w:r>
      <w:r w:rsidRPr="00A34FFE">
        <w:t xml:space="preserve"> </w:t>
      </w:r>
      <w:r>
        <w:t>(box 18.2</w:t>
      </w:r>
      <w:r w:rsidRPr="00A34FFE">
        <w:t>).</w:t>
      </w:r>
    </w:p>
    <w:p w14:paraId="2102035A" w14:textId="77777777" w:rsidR="00E53002" w:rsidRDefault="00E53002" w:rsidP="00E530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E53002" w14:paraId="7CB8922E" w14:textId="77777777" w:rsidTr="676085C9">
        <w:tc>
          <w:tcPr>
            <w:tcW w:w="5000" w:type="pct"/>
            <w:tcBorders>
              <w:top w:val="single" w:sz="6" w:space="0" w:color="78A22F" w:themeColor="accent1"/>
              <w:left w:val="nil"/>
              <w:bottom w:val="nil"/>
              <w:right w:val="nil"/>
            </w:tcBorders>
            <w:shd w:val="clear" w:color="auto" w:fill="F2F2F2" w:themeFill="background1" w:themeFillShade="F2"/>
          </w:tcPr>
          <w:p w14:paraId="654755EF" w14:textId="6AF133F4" w:rsidR="00E53002" w:rsidRDefault="00E53002" w:rsidP="00A4323F">
            <w:pPr>
              <w:pStyle w:val="BoxTitle"/>
            </w:pPr>
            <w:r>
              <w:rPr>
                <w:b w:val="0"/>
              </w:rPr>
              <w:t>Box 18.2</w:t>
            </w:r>
            <w:r>
              <w:tab/>
            </w:r>
            <w:r w:rsidR="009F0DB8" w:rsidRPr="009F0DB8">
              <w:t>Selected equity groups</w:t>
            </w:r>
          </w:p>
        </w:tc>
      </w:tr>
      <w:tr w:rsidR="00E53002" w14:paraId="3528C41C" w14:textId="77777777" w:rsidTr="676085C9">
        <w:trPr>
          <w:cantSplit/>
        </w:trPr>
        <w:tc>
          <w:tcPr>
            <w:tcW w:w="5000" w:type="pct"/>
            <w:tcBorders>
              <w:top w:val="nil"/>
              <w:left w:val="nil"/>
              <w:bottom w:val="nil"/>
              <w:right w:val="nil"/>
            </w:tcBorders>
            <w:shd w:val="clear" w:color="auto" w:fill="F2F2F2" w:themeFill="background1" w:themeFillShade="F2"/>
          </w:tcPr>
          <w:p w14:paraId="4FCCDF2D" w14:textId="6D407A87" w:rsidR="00E53002" w:rsidRPr="00D03993" w:rsidRDefault="00E53002" w:rsidP="00A4323F">
            <w:pPr>
              <w:pStyle w:val="Box"/>
            </w:pPr>
            <w:r w:rsidRPr="000A5330">
              <w:t>‘</w:t>
            </w:r>
            <w:r w:rsidR="009F0DB8" w:rsidRPr="009F0DB8">
              <w:t>Selected equity groups</w:t>
            </w:r>
            <w:r w:rsidRPr="000A5330">
              <w:t xml:space="preserve">’ is defined as the proportion of new </w:t>
            </w:r>
            <w:r>
              <w:t>housing allocations that were to</w:t>
            </w:r>
            <w:r w:rsidRPr="000A5330">
              <w:t xml:space="preserve"> households </w:t>
            </w:r>
            <w:r w:rsidR="009F0DB8" w:rsidRPr="006405C4">
              <w:t>in selected equity groups</w:t>
            </w:r>
            <w:r w:rsidRPr="000A5330">
              <w:t>.</w:t>
            </w:r>
          </w:p>
          <w:p w14:paraId="019AB3EB" w14:textId="5DA9847A" w:rsidR="00E53002" w:rsidRPr="000A5330" w:rsidRDefault="009F0DB8" w:rsidP="00A4323F">
            <w:pPr>
              <w:pStyle w:val="Box"/>
            </w:pPr>
            <w:r w:rsidRPr="006405C4">
              <w:t xml:space="preserve">Selected equity group </w:t>
            </w:r>
            <w:r w:rsidR="00E53002" w:rsidRPr="006405C4">
              <w:t>households</w:t>
            </w:r>
            <w:r w:rsidR="00E53002" w:rsidRPr="000A5330">
              <w:t xml:space="preserve"> are defined as households that at the time of allocation have:</w:t>
            </w:r>
          </w:p>
          <w:p w14:paraId="26F4E76F" w14:textId="77777777" w:rsidR="00E53002" w:rsidRPr="000A5330" w:rsidRDefault="00E53002" w:rsidP="00A4323F">
            <w:pPr>
              <w:pStyle w:val="BoxListBullet"/>
            </w:pPr>
            <w:r>
              <w:t>for public housing and community housing — a household member with disability, a main tenant aged 24 years or under, a main tenant aged 75 years or over, and/or satisfy the Aboriginal and Torres Strait Islander household definition</w:t>
            </w:r>
          </w:p>
          <w:p w14:paraId="1C5F557C" w14:textId="77777777" w:rsidR="00E53002" w:rsidRPr="000A5330" w:rsidRDefault="00E53002" w:rsidP="00A4323F">
            <w:pPr>
              <w:pStyle w:val="BoxListBullet"/>
            </w:pPr>
            <w:r>
              <w:t>for SOMIH — a household member with disability, a principal tenant aged 24 years or under and/or a principal tenant aged 50 years or over.</w:t>
            </w:r>
          </w:p>
          <w:p w14:paraId="105F31F5" w14:textId="7E0B2A5C" w:rsidR="00E53002" w:rsidRPr="000A5330" w:rsidRDefault="00E53002" w:rsidP="00A4323F">
            <w:pPr>
              <w:pStyle w:val="Box"/>
            </w:pPr>
            <w:r w:rsidRPr="000A5330">
              <w:t xml:space="preserve">The proportion of new tenancies </w:t>
            </w:r>
            <w:r w:rsidR="009F0DB8">
              <w:t>in s</w:t>
            </w:r>
            <w:r w:rsidR="009F0DB8" w:rsidRPr="009F0DB8">
              <w:t>elected equity groups</w:t>
            </w:r>
            <w:r w:rsidR="009F0DB8">
              <w:t xml:space="preserve"> </w:t>
            </w:r>
            <w:r w:rsidRPr="000A5330">
              <w:t xml:space="preserve">is reported as a proxy for measuring all households </w:t>
            </w:r>
            <w:r w:rsidR="009F0DB8">
              <w:t>in s</w:t>
            </w:r>
            <w:r w:rsidR="009F0DB8" w:rsidRPr="009F0DB8">
              <w:t>elected equity groups</w:t>
            </w:r>
            <w:r w:rsidRPr="000A5330">
              <w:t>. A high or increasing proportion indicates high or increasing access by households</w:t>
            </w:r>
            <w:r w:rsidR="009F0DB8">
              <w:t xml:space="preserve"> in s</w:t>
            </w:r>
            <w:r w:rsidR="009F0DB8" w:rsidRPr="009F0DB8">
              <w:t>elected equity groups</w:t>
            </w:r>
            <w:r w:rsidRPr="000A5330">
              <w:t>.</w:t>
            </w:r>
          </w:p>
          <w:p w14:paraId="2F0C2CCE" w14:textId="77777777" w:rsidR="00E53002" w:rsidRPr="000A5330" w:rsidRDefault="00E53002" w:rsidP="00A4323F">
            <w:pPr>
              <w:pStyle w:val="Box"/>
            </w:pPr>
            <w:r w:rsidRPr="000A5330">
              <w:t>Data for this measure are reported for public housing, SOMIH and community housing and are:</w:t>
            </w:r>
          </w:p>
          <w:p w14:paraId="011F9DCA" w14:textId="77777777" w:rsidR="00E53002" w:rsidRPr="000A5330" w:rsidRDefault="00E53002" w:rsidP="00A4323F">
            <w:pPr>
              <w:pStyle w:val="BoxListBullet"/>
              <w:numPr>
                <w:ilvl w:val="0"/>
                <w:numId w:val="0"/>
              </w:numPr>
              <w:ind w:left="284"/>
            </w:pPr>
            <w:r w:rsidRPr="00EE78CC">
              <w:rPr>
                <w:shd w:val="clear" w:color="auto" w:fill="FCDED3"/>
              </w:rPr>
              <w:t xml:space="preserve">    </w:t>
            </w:r>
            <w:r>
              <w:t xml:space="preserve"> </w:t>
            </w:r>
            <w:r w:rsidRPr="005E7631">
              <w:t xml:space="preserve">not comparable across public housing, SOMIH and community housing and not comparable across jurisdictions or within some jurisdictions over time (see caveats in </w:t>
            </w:r>
            <w:r>
              <w:t>data</w:t>
            </w:r>
            <w:r w:rsidRPr="005E7631">
              <w:t xml:space="preserve"> tables for specific jurisdictions)</w:t>
            </w:r>
          </w:p>
          <w:p w14:paraId="34F4FA08" w14:textId="6E521C5A" w:rsidR="00E53002" w:rsidRPr="00205635" w:rsidRDefault="00E53002" w:rsidP="00742D1C">
            <w:pPr>
              <w:pStyle w:val="BoxListBullet"/>
              <w:numPr>
                <w:ilvl w:val="0"/>
                <w:numId w:val="0"/>
              </w:numPr>
              <w:ind w:left="284"/>
            </w:pPr>
            <w:r w:rsidRPr="00EE78CC">
              <w:rPr>
                <w:shd w:val="clear" w:color="auto" w:fill="FCDED3"/>
              </w:rPr>
              <w:t xml:space="preserve">    </w:t>
            </w:r>
            <w:r>
              <w:t xml:space="preserve"> </w:t>
            </w:r>
            <w:r w:rsidRPr="000A5330">
              <w:t>incomplete for community housing for the current reporting period</w:t>
            </w:r>
            <w:r>
              <w:t xml:space="preserve"> </w:t>
            </w:r>
            <w:r w:rsidRPr="00A8450A">
              <w:t>(comp</w:t>
            </w:r>
            <w:r>
              <w:t>l</w:t>
            </w:r>
            <w:r w:rsidRPr="00A8450A">
              <w:t>ete for public housing and SOMIH)</w:t>
            </w:r>
            <w:r w:rsidRPr="000A5330">
              <w:t xml:space="preserve">. All required </w:t>
            </w:r>
            <w:r w:rsidR="00C1376C">
              <w:t>2020-21</w:t>
            </w:r>
            <w:r w:rsidRPr="005A09B0">
              <w:rPr>
                <w:color w:val="FF0000"/>
              </w:rPr>
              <w:t xml:space="preserve"> </w:t>
            </w:r>
            <w:r w:rsidRPr="00AF2204">
              <w:t xml:space="preserve">community housing </w:t>
            </w:r>
            <w:r w:rsidRPr="00F960D2">
              <w:t>data are not available for the NT.</w:t>
            </w:r>
            <w:r w:rsidRPr="000A5330">
              <w:t xml:space="preserve"> </w:t>
            </w:r>
          </w:p>
        </w:tc>
      </w:tr>
      <w:tr w:rsidR="00E53002" w14:paraId="09D0A3DC" w14:textId="77777777" w:rsidTr="676085C9">
        <w:trPr>
          <w:cantSplit/>
        </w:trPr>
        <w:tc>
          <w:tcPr>
            <w:tcW w:w="5000" w:type="pct"/>
            <w:tcBorders>
              <w:top w:val="nil"/>
              <w:left w:val="nil"/>
              <w:bottom w:val="single" w:sz="6" w:space="0" w:color="78A22F" w:themeColor="accent1"/>
              <w:right w:val="nil"/>
            </w:tcBorders>
            <w:shd w:val="clear" w:color="auto" w:fill="F2F2F2" w:themeFill="background1" w:themeFillShade="F2"/>
          </w:tcPr>
          <w:p w14:paraId="77F84088" w14:textId="77777777" w:rsidR="00E53002" w:rsidRDefault="00E53002" w:rsidP="00A4323F">
            <w:pPr>
              <w:pStyle w:val="Box"/>
              <w:spacing w:before="0" w:line="120" w:lineRule="exact"/>
            </w:pPr>
          </w:p>
        </w:tc>
      </w:tr>
      <w:tr w:rsidR="00E53002" w:rsidRPr="00E53002" w14:paraId="1D9AE4F4" w14:textId="77777777" w:rsidTr="676085C9">
        <w:trPr>
          <w:cantSplit/>
        </w:trPr>
        <w:tc>
          <w:tcPr>
            <w:tcW w:w="5000" w:type="pct"/>
            <w:tcBorders>
              <w:top w:val="nil"/>
              <w:left w:val="nil"/>
              <w:bottom w:val="nil"/>
              <w:right w:val="nil"/>
            </w:tcBorders>
            <w:shd w:val="clear" w:color="auto" w:fill="auto"/>
          </w:tcPr>
          <w:p w14:paraId="242AEB8A" w14:textId="77777777" w:rsidR="00E53002" w:rsidRPr="00E53002" w:rsidRDefault="00E53002" w:rsidP="00E53002">
            <w:pPr>
              <w:pStyle w:val="BoxSpaceBelow"/>
            </w:pPr>
          </w:p>
        </w:tc>
      </w:tr>
    </w:tbl>
    <w:p w14:paraId="5A4E139F" w14:textId="77777777" w:rsidR="00E53002" w:rsidRPr="003770C0" w:rsidRDefault="00E53002" w:rsidP="00E53002">
      <w:pPr>
        <w:pStyle w:val="Heading3"/>
      </w:pPr>
      <w:bookmarkStart w:id="16" w:name="_Toc18675359"/>
      <w:bookmarkStart w:id="17" w:name="_Toc27564456"/>
      <w:r>
        <w:lastRenderedPageBreak/>
        <w:t>Effectiveness</w:t>
      </w:r>
      <w:bookmarkEnd w:id="16"/>
      <w:bookmarkEnd w:id="17"/>
    </w:p>
    <w:p w14:paraId="447FEE7D" w14:textId="77777777" w:rsidR="001E523D" w:rsidRDefault="001E523D" w:rsidP="001E523D">
      <w:pPr>
        <w:pStyle w:val="Heading4"/>
      </w:pPr>
      <w:bookmarkStart w:id="18" w:name="_Toc18675360"/>
      <w:bookmarkStart w:id="19" w:name="_Toc27564457"/>
      <w:r>
        <w:t>Access — Affordability</w:t>
      </w:r>
      <w:bookmarkEnd w:id="18"/>
      <w:bookmarkEnd w:id="19"/>
    </w:p>
    <w:p w14:paraId="7AED0B8C" w14:textId="77777777" w:rsidR="001E523D" w:rsidRDefault="001E523D" w:rsidP="001E523D">
      <w:pPr>
        <w:pStyle w:val="BodyText"/>
      </w:pPr>
      <w:r w:rsidRPr="00DA73E5">
        <w:t xml:space="preserve">‘Affordability’ is an indicator of governments’ objective to provide </w:t>
      </w:r>
      <w:r>
        <w:t xml:space="preserve">services that are </w:t>
      </w:r>
      <w:r w:rsidRPr="00DA73E5">
        <w:t>affordable (box</w:t>
      </w:r>
      <w:r>
        <w:t> 18.3</w:t>
      </w:r>
      <w:r w:rsidRPr="00DA73E5">
        <w:t>).</w:t>
      </w:r>
    </w:p>
    <w:p w14:paraId="53DF7758" w14:textId="3EBC017F"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708E3C20" w14:textId="77777777" w:rsidTr="676085C9">
        <w:trPr>
          <w:tblHeader/>
        </w:trPr>
        <w:tc>
          <w:tcPr>
            <w:tcW w:w="5000" w:type="pct"/>
            <w:tcBorders>
              <w:top w:val="single" w:sz="6" w:space="0" w:color="78A22F" w:themeColor="accent1"/>
              <w:left w:val="nil"/>
              <w:bottom w:val="nil"/>
              <w:right w:val="nil"/>
            </w:tcBorders>
            <w:shd w:val="clear" w:color="auto" w:fill="F2F2F2" w:themeFill="background1" w:themeFillShade="F2"/>
          </w:tcPr>
          <w:p w14:paraId="3EF24D5A" w14:textId="55B03150" w:rsidR="001E523D" w:rsidRPr="00982443" w:rsidRDefault="001E523D" w:rsidP="001940EB">
            <w:pPr>
              <w:pStyle w:val="BoxTitle"/>
              <w:rPr>
                <w:rStyle w:val="DraftingNote"/>
              </w:rPr>
            </w:pPr>
            <w:r>
              <w:rPr>
                <w:b w:val="0"/>
              </w:rPr>
              <w:t>Box 18.3</w:t>
            </w:r>
            <w:r>
              <w:tab/>
              <w:t>Affordability</w:t>
            </w:r>
          </w:p>
        </w:tc>
      </w:tr>
      <w:tr w:rsidR="001E523D" w14:paraId="0DAFE1DF" w14:textId="77777777" w:rsidTr="676085C9">
        <w:tc>
          <w:tcPr>
            <w:tcW w:w="5000" w:type="pct"/>
            <w:tcBorders>
              <w:top w:val="nil"/>
              <w:left w:val="nil"/>
              <w:bottom w:val="nil"/>
              <w:right w:val="nil"/>
            </w:tcBorders>
            <w:shd w:val="clear" w:color="auto" w:fill="F2F2F2" w:themeFill="background1" w:themeFillShade="F2"/>
          </w:tcPr>
          <w:p w14:paraId="1BA58DF0" w14:textId="313B61DC" w:rsidR="001E523D" w:rsidRDefault="001E523D" w:rsidP="00A4323F">
            <w:pPr>
              <w:pStyle w:val="Box"/>
            </w:pPr>
            <w:r w:rsidRPr="0022319C">
              <w:t xml:space="preserve">‘Affordability’ is defined as </w:t>
            </w:r>
            <w:r>
              <w:t>the financial capacity of low</w:t>
            </w:r>
            <w:r w:rsidR="00D724A3">
              <w:t>–</w:t>
            </w:r>
            <w:r>
              <w:t>income households in</w:t>
            </w:r>
            <w:r w:rsidRPr="0022319C">
              <w:t xml:space="preserve"> </w:t>
            </w:r>
            <w:r>
              <w:t xml:space="preserve">social housing </w:t>
            </w:r>
            <w:r w:rsidRPr="0022319C">
              <w:t xml:space="preserve">to </w:t>
            </w:r>
            <w:r>
              <w:t>meet rental costs. It is measured as the proportion of low</w:t>
            </w:r>
            <w:r w:rsidR="00D724A3">
              <w:t>–</w:t>
            </w:r>
            <w:r>
              <w:t>income</w:t>
            </w:r>
            <w:r w:rsidRPr="00131C1E">
              <w:t xml:space="preserve"> social housing households in rental stress</w:t>
            </w:r>
            <w:r>
              <w:t>, where:</w:t>
            </w:r>
          </w:p>
          <w:p w14:paraId="394302D6" w14:textId="77777777" w:rsidR="001E523D" w:rsidRDefault="001E523D" w:rsidP="00A4323F">
            <w:pPr>
              <w:pStyle w:val="BoxListBullet"/>
            </w:pPr>
            <w:r>
              <w:t>‘rental stress’ is defined as spending more than 30 per cent of gross household income (excluding CRA) on rent</w:t>
            </w:r>
          </w:p>
          <w:p w14:paraId="34CCD074" w14:textId="672CDD68" w:rsidR="001E523D" w:rsidRDefault="001E523D" w:rsidP="007A1940">
            <w:pPr>
              <w:pStyle w:val="BoxListBullet"/>
            </w:pPr>
            <w:r>
              <w:t>low</w:t>
            </w:r>
            <w:r w:rsidR="003376B0">
              <w:softHyphen/>
            </w:r>
            <w:r w:rsidR="003376B0">
              <w:softHyphen/>
            </w:r>
            <w:r w:rsidR="00D724A3">
              <w:t>–</w:t>
            </w:r>
            <w:r>
              <w:t xml:space="preserve">income households are defined as those in the bottom 40 per cent of equivalised gross household income (see </w:t>
            </w:r>
            <w:r w:rsidRPr="00B8159C">
              <w:t>section</w:t>
            </w:r>
            <w:r w:rsidR="00C47BFD">
              <w:t> </w:t>
            </w:r>
            <w:r w:rsidRPr="00B8159C">
              <w:t>18.</w:t>
            </w:r>
            <w:r w:rsidR="18F6E390">
              <w:t>3</w:t>
            </w:r>
            <w:r>
              <w:t xml:space="preserve"> for further detail). Low</w:t>
            </w:r>
            <w:r w:rsidR="00D724A3">
              <w:t>–</w:t>
            </w:r>
            <w:r>
              <w:t xml:space="preserve">income households are more likely to be adversely affected by relatively high housing costs than households with higher disposable incomes (Yates and Gabriel </w:t>
            </w:r>
            <w:r w:rsidR="19ACC332">
              <w:t>2006; Yates and Milligan 2007).</w:t>
            </w:r>
          </w:p>
          <w:p w14:paraId="6AA1393C" w14:textId="34F8D388" w:rsidR="00E76AA2" w:rsidRDefault="19ACC332" w:rsidP="00E76AA2">
            <w:pPr>
              <w:pStyle w:val="Box"/>
            </w:pPr>
            <w:r w:rsidRPr="001924D9">
              <w:t xml:space="preserve">Rental stress is mitigated through rental subsidies provided to eligible </w:t>
            </w:r>
            <w:r w:rsidR="00E76AA2">
              <w:t>low</w:t>
            </w:r>
            <w:r w:rsidR="00D724A3">
              <w:t>–</w:t>
            </w:r>
            <w:r w:rsidR="00E76AA2">
              <w:t>income</w:t>
            </w:r>
            <w:r w:rsidRPr="001924D9">
              <w:t xml:space="preserve"> social housing households by State and Territory governments. For public housing and SOMIH, rents are generally set at estimated market rates and subsidised for eligible households so that rental costs do not exceed a set proportion of assessable household income (25 per cent in most states </w:t>
            </w:r>
            <w:r>
              <w:t>and territories) (tables 18A.</w:t>
            </w:r>
            <w:r w:rsidR="007C7DA9">
              <w:t>22</w:t>
            </w:r>
            <w:r>
              <w:t>–</w:t>
            </w:r>
            <w:r w:rsidR="007C7DA9">
              <w:t>24</w:t>
            </w:r>
            <w:r w:rsidRPr="001924D9">
              <w:t>).</w:t>
            </w:r>
          </w:p>
          <w:p w14:paraId="461D910E" w14:textId="77777777" w:rsidR="00E76AA2" w:rsidRPr="0022319C" w:rsidRDefault="00E76AA2" w:rsidP="00E76AA2">
            <w:pPr>
              <w:pStyle w:val="Box"/>
            </w:pPr>
            <w:r w:rsidRPr="0022319C">
              <w:t xml:space="preserve">A low or decreasing proportion of </w:t>
            </w:r>
            <w:r>
              <w:t xml:space="preserve">social housing </w:t>
            </w:r>
            <w:r w:rsidRPr="0022319C">
              <w:t xml:space="preserve">households spending more than 30 per cent of their income on rent implies </w:t>
            </w:r>
            <w:r>
              <w:t xml:space="preserve">that social </w:t>
            </w:r>
            <w:r w:rsidRPr="0022319C">
              <w:t xml:space="preserve">housing </w:t>
            </w:r>
            <w:r>
              <w:t xml:space="preserve">is more </w:t>
            </w:r>
            <w:r w:rsidRPr="0022319C">
              <w:t>affordabl</w:t>
            </w:r>
            <w:r>
              <w:t>e</w:t>
            </w:r>
            <w:r w:rsidRPr="0022319C">
              <w:t>.</w:t>
            </w:r>
          </w:p>
          <w:p w14:paraId="7752B341" w14:textId="77777777" w:rsidR="00E76AA2" w:rsidRPr="0022319C" w:rsidRDefault="00E76AA2" w:rsidP="00E76AA2">
            <w:pPr>
              <w:pStyle w:val="Box"/>
            </w:pPr>
            <w:r>
              <w:t>Data for this measure are</w:t>
            </w:r>
            <w:r w:rsidRPr="0022319C">
              <w:t xml:space="preserve"> reported for public housin</w:t>
            </w:r>
            <w:r>
              <w:t>g, SOMIH and community housing and are</w:t>
            </w:r>
            <w:r w:rsidRPr="0022319C">
              <w:t>:</w:t>
            </w:r>
          </w:p>
          <w:p w14:paraId="3AB3B767" w14:textId="77777777" w:rsidR="00E76AA2" w:rsidRPr="0022319C" w:rsidRDefault="00E76AA2" w:rsidP="00E76AA2">
            <w:pPr>
              <w:pStyle w:val="BoxListBullet"/>
              <w:numPr>
                <w:ilvl w:val="0"/>
                <w:numId w:val="0"/>
              </w:numPr>
              <w:ind w:left="284"/>
            </w:pPr>
            <w:r w:rsidRPr="00EE78CC">
              <w:rPr>
                <w:shd w:val="clear" w:color="auto" w:fill="FCDED3"/>
              </w:rPr>
              <w:t xml:space="preserve">    </w:t>
            </w:r>
            <w:r>
              <w:t xml:space="preserve"> </w:t>
            </w:r>
            <w:r w:rsidRPr="00494031">
              <w:t xml:space="preserve">not comparable across public housing, SOMIH and community housing, but are comparable </w:t>
            </w:r>
            <w:r>
              <w:t xml:space="preserve">(subject to caveats) </w:t>
            </w:r>
            <w:r w:rsidRPr="00494031">
              <w:t>across jurisdictions</w:t>
            </w:r>
            <w:r>
              <w:t xml:space="preserve"> </w:t>
            </w:r>
            <w:r w:rsidRPr="00EF0530">
              <w:t>and over time</w:t>
            </w:r>
          </w:p>
          <w:p w14:paraId="5AD08CA1" w14:textId="2EE81509" w:rsidR="00E76AA2" w:rsidRDefault="00E76AA2" w:rsidP="00E76AA2">
            <w:pPr>
              <w:pStyle w:val="BoxListBullet"/>
              <w:numPr>
                <w:ilvl w:val="0"/>
                <w:numId w:val="0"/>
              </w:numPr>
              <w:ind w:left="284"/>
            </w:pPr>
            <w:r w:rsidRPr="00EE78CC">
              <w:rPr>
                <w:shd w:val="clear" w:color="auto" w:fill="FCDED3"/>
              </w:rPr>
              <w:t xml:space="preserve">    </w:t>
            </w:r>
            <w:r>
              <w:t xml:space="preserve"> in</w:t>
            </w:r>
            <w:r w:rsidRPr="00B5171D">
              <w:t>complete</w:t>
            </w:r>
            <w:r w:rsidRPr="0022319C">
              <w:t xml:space="preserve"> for the current reporting period</w:t>
            </w:r>
            <w:r>
              <w:t xml:space="preserve"> </w:t>
            </w:r>
            <w:r w:rsidRPr="00040091">
              <w:t xml:space="preserve">for SOMIH and </w:t>
            </w:r>
            <w:r w:rsidRPr="00F960D2">
              <w:t>community housing</w:t>
            </w:r>
            <w:r>
              <w:t xml:space="preserve"> </w:t>
            </w:r>
            <w:r w:rsidRPr="00494031">
              <w:t>(complete for public housing)</w:t>
            </w:r>
            <w:r>
              <w:t xml:space="preserve">. </w:t>
            </w:r>
            <w:r w:rsidRPr="0022319C">
              <w:t>All required</w:t>
            </w:r>
            <w:r>
              <w:t xml:space="preserve"> 30 </w:t>
            </w:r>
            <w:r w:rsidRPr="003336F0">
              <w:t>June</w:t>
            </w:r>
            <w:r>
              <w:t xml:space="preserve"> </w:t>
            </w:r>
            <w:r w:rsidRPr="000549CB">
              <w:t>20</w:t>
            </w:r>
            <w:r>
              <w:t>2</w:t>
            </w:r>
            <w:r w:rsidR="00DB7FBB">
              <w:t>1</w:t>
            </w:r>
            <w:r w:rsidRPr="00040091">
              <w:t xml:space="preserve"> </w:t>
            </w:r>
            <w:r w:rsidRPr="003336F0">
              <w:t xml:space="preserve">data </w:t>
            </w:r>
            <w:r w:rsidRPr="0022319C">
              <w:t xml:space="preserve">are </w:t>
            </w:r>
            <w:r w:rsidRPr="00AF2204">
              <w:t>not available for the NT.</w:t>
            </w:r>
          </w:p>
        </w:tc>
      </w:tr>
      <w:tr w:rsidR="001E523D" w14:paraId="5D5FA41A" w14:textId="77777777" w:rsidTr="676085C9">
        <w:tc>
          <w:tcPr>
            <w:tcW w:w="5000" w:type="pct"/>
            <w:tcBorders>
              <w:top w:val="nil"/>
              <w:left w:val="nil"/>
              <w:bottom w:val="single" w:sz="6" w:space="0" w:color="78A22F" w:themeColor="accent1"/>
              <w:right w:val="nil"/>
            </w:tcBorders>
            <w:shd w:val="clear" w:color="auto" w:fill="F2F2F2" w:themeFill="background1" w:themeFillShade="F2"/>
          </w:tcPr>
          <w:p w14:paraId="0D324A78" w14:textId="77777777" w:rsidR="001E523D" w:rsidRDefault="001E523D" w:rsidP="00A4323F">
            <w:pPr>
              <w:pStyle w:val="Box"/>
              <w:spacing w:before="0" w:line="120" w:lineRule="exact"/>
            </w:pPr>
          </w:p>
        </w:tc>
      </w:tr>
      <w:tr w:rsidR="001E523D" w:rsidRPr="000863A5" w14:paraId="3442CE3C" w14:textId="77777777" w:rsidTr="676085C9">
        <w:tc>
          <w:tcPr>
            <w:tcW w:w="5000" w:type="pct"/>
            <w:tcBorders>
              <w:top w:val="single" w:sz="6" w:space="0" w:color="78A22F" w:themeColor="accent1"/>
              <w:left w:val="nil"/>
              <w:bottom w:val="nil"/>
              <w:right w:val="nil"/>
            </w:tcBorders>
          </w:tcPr>
          <w:p w14:paraId="3927505D" w14:textId="4D922ECA" w:rsidR="001E523D" w:rsidRPr="00626D32" w:rsidRDefault="001E523D" w:rsidP="00A4323F">
            <w:pPr>
              <w:pStyle w:val="BoxSpaceBelow"/>
            </w:pPr>
          </w:p>
        </w:tc>
      </w:tr>
    </w:tbl>
    <w:p w14:paraId="5C69B4BC" w14:textId="187BB47E" w:rsidR="001E523D" w:rsidRDefault="009E0B8A" w:rsidP="001E523D">
      <w:pPr>
        <w:pStyle w:val="Heading4"/>
        <w:spacing w:before="300"/>
      </w:pPr>
      <w:bookmarkStart w:id="20" w:name="_Toc18675361"/>
      <w:bookmarkStart w:id="21" w:name="_Toc27564458"/>
      <w:r w:rsidRPr="009E0B8A">
        <w:t>Time waited</w:t>
      </w:r>
      <w:bookmarkEnd w:id="20"/>
      <w:bookmarkEnd w:id="21"/>
    </w:p>
    <w:p w14:paraId="5E476AA9" w14:textId="7747D053" w:rsidR="001E523D" w:rsidRDefault="001E523D" w:rsidP="001E523D">
      <w:pPr>
        <w:pStyle w:val="BodyText"/>
      </w:pPr>
      <w:r w:rsidRPr="00D33393">
        <w:t>‘</w:t>
      </w:r>
      <w:r w:rsidR="009E0B8A" w:rsidRPr="009E0B8A">
        <w:t>Time waited</w:t>
      </w:r>
      <w:r w:rsidRPr="00D33393">
        <w:t>’ is an indicator of government’s objective to provide services that are timely</w:t>
      </w:r>
      <w:r>
        <w:t xml:space="preserve"> (box 18.4)</w:t>
      </w:r>
      <w:r w:rsidRPr="00D33393">
        <w:t>.</w:t>
      </w:r>
    </w:p>
    <w:p w14:paraId="42F49E03" w14:textId="77777777" w:rsidR="001E523D" w:rsidRDefault="001E523D" w:rsidP="001E523D">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74370F50" w14:textId="77777777" w:rsidTr="676085C9">
        <w:trPr>
          <w:tblHeader/>
        </w:trPr>
        <w:tc>
          <w:tcPr>
            <w:tcW w:w="5000" w:type="pct"/>
            <w:tcBorders>
              <w:top w:val="single" w:sz="6" w:space="0" w:color="78A22F" w:themeColor="accent1"/>
              <w:left w:val="nil"/>
              <w:bottom w:val="nil"/>
              <w:right w:val="nil"/>
            </w:tcBorders>
            <w:shd w:val="clear" w:color="auto" w:fill="F2F2F2" w:themeFill="background1" w:themeFillShade="F2"/>
          </w:tcPr>
          <w:p w14:paraId="3D5EAD9C" w14:textId="190FF6B1" w:rsidR="001E523D" w:rsidRDefault="001E523D" w:rsidP="00A4323F">
            <w:pPr>
              <w:pStyle w:val="BoxTitle"/>
            </w:pPr>
            <w:r>
              <w:rPr>
                <w:b w:val="0"/>
              </w:rPr>
              <w:t>Box 18.</w:t>
            </w:r>
            <w:r w:rsidRPr="676085C9">
              <w:rPr>
                <w:b w:val="0"/>
                <w:noProof/>
              </w:rPr>
              <w:t>4</w:t>
            </w:r>
            <w:r>
              <w:tab/>
            </w:r>
            <w:r w:rsidR="5B746D44">
              <w:t>Time waited</w:t>
            </w:r>
          </w:p>
        </w:tc>
      </w:tr>
      <w:tr w:rsidR="001E523D" w14:paraId="0D6588A4" w14:textId="77777777" w:rsidTr="676085C9">
        <w:tc>
          <w:tcPr>
            <w:tcW w:w="5000" w:type="pct"/>
            <w:tcBorders>
              <w:top w:val="nil"/>
              <w:left w:val="nil"/>
              <w:bottom w:val="nil"/>
              <w:right w:val="nil"/>
            </w:tcBorders>
            <w:shd w:val="clear" w:color="auto" w:fill="F2F2F2" w:themeFill="background1" w:themeFillShade="F2"/>
          </w:tcPr>
          <w:p w14:paraId="7F536180" w14:textId="13A0BD7A" w:rsidR="001E523D" w:rsidRDefault="00117315" w:rsidP="00A4323F">
            <w:pPr>
              <w:pStyle w:val="Box"/>
            </w:pPr>
            <w:r w:rsidRPr="00D33393">
              <w:t>‘</w:t>
            </w:r>
            <w:r w:rsidRPr="00BF3E78">
              <w:t>Time waited</w:t>
            </w:r>
            <w:r w:rsidR="001E523D" w:rsidRPr="00D33393">
              <w:t xml:space="preserve">’ is defined as the </w:t>
            </w:r>
            <w:r w:rsidR="00C70EA5" w:rsidRPr="00C70EA5">
              <w:t>time waited for social housing by households that are newly allocated in the reference year</w:t>
            </w:r>
            <w:r w:rsidR="001E523D">
              <w:t>.</w:t>
            </w:r>
          </w:p>
          <w:p w14:paraId="7A13DAEC" w14:textId="2DF25A53" w:rsidR="00BA7E40" w:rsidRDefault="00BA7E40" w:rsidP="00A4323F">
            <w:pPr>
              <w:pStyle w:val="Box"/>
            </w:pPr>
            <w:r w:rsidRPr="00BA7E40">
              <w:t xml:space="preserve">Households awaiting social housing allocation may receive other forms of government assistance to obtain or maintain housing: for example, Private </w:t>
            </w:r>
            <w:r w:rsidRPr="00B71131">
              <w:t>Rent</w:t>
            </w:r>
            <w:r w:rsidRPr="00BA7E40">
              <w:t xml:space="preserve"> Assistance, homelessness services and/ or Commonwealth Rent Assistance</w:t>
            </w:r>
            <w:r>
              <w:t>.</w:t>
            </w:r>
          </w:p>
          <w:p w14:paraId="03E0F9EF" w14:textId="77777777" w:rsidR="009E0B8A" w:rsidRDefault="009E0B8A" w:rsidP="009E0B8A">
            <w:pPr>
              <w:pStyle w:val="Box"/>
            </w:pPr>
            <w:r>
              <w:t>This indicator should be interpreted with caution. Factors external to government can drive changes in performance. Demand for social housing reflects the capacity of low income earners to access and maintain affordable housing in the private market. Rising house prices and low wages growth can lead to rises in demand.</w:t>
            </w:r>
          </w:p>
          <w:p w14:paraId="68E0E52E" w14:textId="77777777" w:rsidR="009E0B8A" w:rsidRDefault="009E0B8A" w:rsidP="009E0B8A">
            <w:pPr>
              <w:pStyle w:val="Box"/>
            </w:pPr>
            <w:r>
              <w:t>Governments can use a range of interventions to improve access to affordable housing for low income earners, thereby reducing demand for social housing. For example, stimulating new supply of affordable housing, incentives to increase affordability of existing housing and targeted financial assistance to low income earners.</w:t>
            </w:r>
          </w:p>
          <w:p w14:paraId="16C5035F" w14:textId="53B13B75" w:rsidR="009E0B8A" w:rsidRDefault="00B60A27" w:rsidP="009E0B8A">
            <w:pPr>
              <w:pStyle w:val="Box"/>
            </w:pPr>
            <w:r>
              <w:t>Time waited for s</w:t>
            </w:r>
            <w:r w:rsidR="009E0B8A">
              <w:t>ocial housing reflect</w:t>
            </w:r>
            <w:r>
              <w:t>s</w:t>
            </w:r>
            <w:r w:rsidR="009E0B8A">
              <w:t xml:space="preserve"> the collective impact of governments’ actions to address the need for affordable and social housing.</w:t>
            </w:r>
          </w:p>
          <w:p w14:paraId="1F1F13A7" w14:textId="41B9E5C9" w:rsidR="009E0B8A" w:rsidRDefault="00004700" w:rsidP="009E0B8A">
            <w:pPr>
              <w:pStyle w:val="Box"/>
            </w:pPr>
            <w:r w:rsidRPr="00004700">
              <w:t xml:space="preserve">Time waited for social housing is </w:t>
            </w:r>
            <w:r w:rsidR="009E0B8A">
              <w:t>also affected by differences across jurisdictions in social housing supply, allocation policy and waitlist management.</w:t>
            </w:r>
          </w:p>
          <w:p w14:paraId="2E6B7080" w14:textId="77777777" w:rsidR="00F81B93" w:rsidRDefault="009E0B8A" w:rsidP="00A4323F">
            <w:pPr>
              <w:pStyle w:val="Box"/>
              <w:rPr>
                <w:lang w:eastAsia="en-US"/>
              </w:rPr>
            </w:pPr>
            <w:r>
              <w:t>A low or decreasing time waited is desirable</w:t>
            </w:r>
            <w:r w:rsidR="006170FD">
              <w:t>.</w:t>
            </w:r>
          </w:p>
          <w:p w14:paraId="22CC299F" w14:textId="143ACA31" w:rsidR="001E523D" w:rsidRDefault="001E523D" w:rsidP="00A4323F">
            <w:pPr>
              <w:pStyle w:val="Box"/>
            </w:pPr>
            <w:r w:rsidRPr="00D33393">
              <w:t>Data are not yet available for reporting against this indicator.</w:t>
            </w:r>
          </w:p>
        </w:tc>
      </w:tr>
      <w:tr w:rsidR="001E523D" w14:paraId="70215654" w14:textId="77777777" w:rsidTr="676085C9">
        <w:tc>
          <w:tcPr>
            <w:tcW w:w="5000" w:type="pct"/>
            <w:tcBorders>
              <w:top w:val="nil"/>
              <w:left w:val="nil"/>
              <w:bottom w:val="single" w:sz="6" w:space="0" w:color="78A22F" w:themeColor="accent1"/>
              <w:right w:val="nil"/>
            </w:tcBorders>
            <w:shd w:val="clear" w:color="auto" w:fill="F2F2F2" w:themeFill="background1" w:themeFillShade="F2"/>
          </w:tcPr>
          <w:p w14:paraId="0B37A0D2" w14:textId="77777777" w:rsidR="001E523D" w:rsidRDefault="001E523D" w:rsidP="00A4323F">
            <w:pPr>
              <w:pStyle w:val="Box"/>
              <w:spacing w:before="0" w:line="120" w:lineRule="exact"/>
            </w:pPr>
          </w:p>
        </w:tc>
      </w:tr>
      <w:tr w:rsidR="001E523D" w:rsidRPr="000863A5" w14:paraId="0CED106D" w14:textId="77777777" w:rsidTr="676085C9">
        <w:tc>
          <w:tcPr>
            <w:tcW w:w="5000" w:type="pct"/>
            <w:tcBorders>
              <w:top w:val="single" w:sz="6" w:space="0" w:color="78A22F" w:themeColor="accent1"/>
              <w:left w:val="nil"/>
              <w:bottom w:val="nil"/>
              <w:right w:val="nil"/>
            </w:tcBorders>
          </w:tcPr>
          <w:p w14:paraId="49F9BDA4" w14:textId="77777777" w:rsidR="001E523D" w:rsidRPr="00626D32" w:rsidRDefault="001E523D" w:rsidP="00A4323F">
            <w:pPr>
              <w:pStyle w:val="BoxSpaceBelow"/>
            </w:pPr>
          </w:p>
        </w:tc>
      </w:tr>
    </w:tbl>
    <w:p w14:paraId="46AA338B" w14:textId="77777777" w:rsidR="001E523D" w:rsidRPr="003430B0" w:rsidRDefault="001E523D" w:rsidP="001E523D">
      <w:pPr>
        <w:pStyle w:val="Heading4"/>
      </w:pPr>
      <w:bookmarkStart w:id="22" w:name="_Toc18675362"/>
      <w:bookmarkStart w:id="23" w:name="_Toc27564459"/>
      <w:r>
        <w:t xml:space="preserve">Appropriateness — </w:t>
      </w:r>
      <w:r w:rsidRPr="00BF6E24">
        <w:t>Match of dwelling to household size</w:t>
      </w:r>
      <w:bookmarkEnd w:id="22"/>
      <w:bookmarkEnd w:id="23"/>
    </w:p>
    <w:p w14:paraId="01D9F112" w14:textId="0A883B68" w:rsidR="00E53002" w:rsidRDefault="001E523D" w:rsidP="001E523D">
      <w:pPr>
        <w:pStyle w:val="BodyText"/>
      </w:pPr>
      <w:r w:rsidRPr="00DA73E5">
        <w:t xml:space="preserve">‘Match of dwelling to household size’ is an indicator of governments’ objective to provide </w:t>
      </w:r>
      <w:r>
        <w:t>services</w:t>
      </w:r>
      <w:r w:rsidRPr="00DA73E5">
        <w:t xml:space="preserve"> that </w:t>
      </w:r>
      <w:r>
        <w:t>are</w:t>
      </w:r>
      <w:r w:rsidRPr="00DA73E5">
        <w:t xml:space="preserve"> appropriate</w:t>
      </w:r>
      <w:r>
        <w:t>,</w:t>
      </w:r>
      <w:r w:rsidRPr="00866D08">
        <w:t xml:space="preserve"> meeting</w:t>
      </w:r>
      <w:r w:rsidRPr="00DA73E5">
        <w:t xml:space="preserve"> the needs of </w:t>
      </w:r>
      <w:r w:rsidRPr="00866D08">
        <w:t xml:space="preserve">individual </w:t>
      </w:r>
      <w:r w:rsidRPr="00DA73E5">
        <w:t>households (box</w:t>
      </w:r>
      <w:r>
        <w:t> 18.5).</w:t>
      </w:r>
    </w:p>
    <w:p w14:paraId="19D511B4"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257A7755" w14:textId="77777777" w:rsidTr="00A4323F">
        <w:tc>
          <w:tcPr>
            <w:tcW w:w="5000" w:type="pct"/>
            <w:tcBorders>
              <w:top w:val="single" w:sz="6" w:space="0" w:color="78A22F"/>
              <w:left w:val="nil"/>
              <w:bottom w:val="nil"/>
              <w:right w:val="nil"/>
            </w:tcBorders>
            <w:shd w:val="clear" w:color="auto" w:fill="F2F2F2" w:themeFill="background1" w:themeFillShade="F2"/>
          </w:tcPr>
          <w:p w14:paraId="1E14F7FD" w14:textId="77777777" w:rsidR="001E523D" w:rsidRDefault="001E523D" w:rsidP="00A4323F">
            <w:pPr>
              <w:pStyle w:val="BoxTitle"/>
            </w:pPr>
            <w:r>
              <w:rPr>
                <w:b w:val="0"/>
              </w:rPr>
              <w:t>Box 18.</w:t>
            </w:r>
            <w:r>
              <w:rPr>
                <w:b w:val="0"/>
                <w:noProof/>
              </w:rPr>
              <w:t>5</w:t>
            </w:r>
            <w:r>
              <w:tab/>
            </w:r>
            <w:r w:rsidRPr="007504E5">
              <w:t>Match of dwelling to household size</w:t>
            </w:r>
          </w:p>
        </w:tc>
      </w:tr>
      <w:tr w:rsidR="001E523D" w14:paraId="3FDF5CEE" w14:textId="77777777" w:rsidTr="00A4323F">
        <w:trPr>
          <w:cantSplit/>
        </w:trPr>
        <w:tc>
          <w:tcPr>
            <w:tcW w:w="5000" w:type="pct"/>
            <w:tcBorders>
              <w:top w:val="nil"/>
              <w:left w:val="nil"/>
              <w:bottom w:val="nil"/>
              <w:right w:val="nil"/>
            </w:tcBorders>
            <w:shd w:val="clear" w:color="auto" w:fill="F2F2F2" w:themeFill="background1" w:themeFillShade="F2"/>
          </w:tcPr>
          <w:p w14:paraId="6640CA39" w14:textId="46807F6E" w:rsidR="001E523D" w:rsidRPr="005E340A" w:rsidRDefault="001E523D" w:rsidP="00A4323F">
            <w:pPr>
              <w:pStyle w:val="Box"/>
            </w:pPr>
            <w:r w:rsidRPr="005E340A">
              <w:t>‘Match of dwelling to household size’ is defined as the proportion of households that are overcrowded.</w:t>
            </w:r>
          </w:p>
          <w:p w14:paraId="5E9ADE72" w14:textId="693D6A88" w:rsidR="001E523D" w:rsidRPr="005E340A" w:rsidRDefault="001E523D" w:rsidP="00A4323F">
            <w:pPr>
              <w:pStyle w:val="Box"/>
            </w:pPr>
            <w:r w:rsidRPr="005E340A">
              <w:t>Overcrowding is defined and measured using the Canadian National Occupancy Standard (CNOS)</w:t>
            </w:r>
            <w:r w:rsidR="00B61AD2">
              <w:t>,</w:t>
            </w:r>
            <w:r w:rsidRPr="005E340A">
              <w:t xml:space="preserve"> </w:t>
            </w:r>
            <w:r>
              <w:t>with</w:t>
            </w:r>
            <w:r w:rsidRPr="005E340A">
              <w:t xml:space="preserve"> </w:t>
            </w:r>
            <w:r>
              <w:t xml:space="preserve">households deemed to be </w:t>
            </w:r>
            <w:r w:rsidRPr="005E340A">
              <w:t>overcrowd</w:t>
            </w:r>
            <w:r>
              <w:t>ed</w:t>
            </w:r>
            <w:r w:rsidRPr="005E340A">
              <w:t xml:space="preserve"> if one or more additional bedrooms are required to meet the standard (see </w:t>
            </w:r>
            <w:r w:rsidR="00B41AF7">
              <w:t>sub</w:t>
            </w:r>
            <w:r w:rsidR="006C5D3D">
              <w:t>–</w:t>
            </w:r>
            <w:r w:rsidRPr="005E340A">
              <w:t>section</w:t>
            </w:r>
            <w:r>
              <w:t> </w:t>
            </w:r>
            <w:r w:rsidRPr="005E340A">
              <w:t>1</w:t>
            </w:r>
            <w:r>
              <w:t>8</w:t>
            </w:r>
            <w:r w:rsidRPr="005E340A">
              <w:t>.</w:t>
            </w:r>
            <w:r w:rsidR="009E6D0C">
              <w:t>3</w:t>
            </w:r>
            <w:r w:rsidRPr="005E340A">
              <w:t xml:space="preserve"> for CNOS definition). State and Territory housing authorities’ bedroom entitlement policies may differ from the CNOS.</w:t>
            </w:r>
          </w:p>
          <w:p w14:paraId="4616C224" w14:textId="77777777" w:rsidR="001E523D" w:rsidRDefault="001E523D" w:rsidP="00A8331C">
            <w:pPr>
              <w:pStyle w:val="Box"/>
            </w:pPr>
            <w:r w:rsidRPr="005E340A">
              <w:t xml:space="preserve">The </w:t>
            </w:r>
            <w:r>
              <w:t>CNOS requires knowledge of</w:t>
            </w:r>
            <w:r w:rsidRPr="005E340A">
              <w:t xml:space="preserve"> the age, sex and relationship status of all tenants within a household, as well as the number of bedrooms. </w:t>
            </w:r>
            <w:r>
              <w:t>H</w:t>
            </w:r>
            <w:r w:rsidRPr="005E340A">
              <w:t xml:space="preserve">ouseholds </w:t>
            </w:r>
            <w:r>
              <w:t>for which</w:t>
            </w:r>
            <w:r w:rsidRPr="005E340A">
              <w:t xml:space="preserve"> complete information </w:t>
            </w:r>
            <w:r>
              <w:t xml:space="preserve">is not </w:t>
            </w:r>
            <w:r w:rsidRPr="005E340A">
              <w:t xml:space="preserve">available are </w:t>
            </w:r>
            <w:r>
              <w:t>ex</w:t>
            </w:r>
            <w:r w:rsidRPr="005E340A">
              <w:t xml:space="preserve">cluded </w:t>
            </w:r>
            <w:r>
              <w:t xml:space="preserve">from data for this </w:t>
            </w:r>
            <w:r w:rsidRPr="004D5C60">
              <w:t>measure</w:t>
            </w:r>
            <w:r w:rsidRPr="005E340A">
              <w:t>.</w:t>
            </w:r>
          </w:p>
          <w:p w14:paraId="5309F3EB" w14:textId="6F3DC190" w:rsidR="009E7A04" w:rsidRPr="005E340A" w:rsidRDefault="009E7A04" w:rsidP="00A8331C">
            <w:pPr>
              <w:pStyle w:val="Box"/>
            </w:pPr>
            <w:r w:rsidRPr="005E340A">
              <w:t xml:space="preserve">Low or decreasing proportions of households in social housing living in overcrowded conditions </w:t>
            </w:r>
            <w:r>
              <w:t>are</w:t>
            </w:r>
            <w:r w:rsidRPr="005E340A">
              <w:t xml:space="preserve"> desirable.</w:t>
            </w:r>
          </w:p>
        </w:tc>
      </w:tr>
      <w:tr w:rsidR="00370980" w:rsidRPr="00ED061E" w14:paraId="6AA82784" w14:textId="77777777" w:rsidTr="0053407F">
        <w:tc>
          <w:tcPr>
            <w:tcW w:w="5000" w:type="pct"/>
            <w:tcBorders>
              <w:top w:val="nil"/>
              <w:left w:val="nil"/>
              <w:bottom w:val="nil"/>
              <w:right w:val="nil"/>
            </w:tcBorders>
            <w:shd w:val="clear" w:color="auto" w:fill="F2F2F2"/>
          </w:tcPr>
          <w:p w14:paraId="48D9E80D" w14:textId="77777777" w:rsidR="00370980" w:rsidRPr="00ED061E" w:rsidRDefault="00370980" w:rsidP="0053407F">
            <w:pPr>
              <w:pStyle w:val="BoxSource"/>
              <w:spacing w:after="120" w:line="240" w:lineRule="auto"/>
              <w:jc w:val="right"/>
            </w:pPr>
            <w:r w:rsidRPr="00ED061E">
              <w:t>(continued next page)</w:t>
            </w:r>
          </w:p>
        </w:tc>
      </w:tr>
      <w:tr w:rsidR="001E523D" w14:paraId="61EEBC62"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6FCF923" w14:textId="77777777" w:rsidR="001E523D" w:rsidRDefault="001E523D" w:rsidP="00A4323F">
            <w:pPr>
              <w:pStyle w:val="Box"/>
              <w:spacing w:before="0" w:line="120" w:lineRule="exact"/>
            </w:pPr>
          </w:p>
        </w:tc>
      </w:tr>
      <w:tr w:rsidR="001E523D" w:rsidRPr="000863A5" w14:paraId="757E0D07" w14:textId="77777777" w:rsidTr="00A4323F">
        <w:tc>
          <w:tcPr>
            <w:tcW w:w="5000" w:type="pct"/>
            <w:tcBorders>
              <w:top w:val="single" w:sz="6" w:space="0" w:color="78A22F"/>
              <w:left w:val="nil"/>
              <w:bottom w:val="nil"/>
              <w:right w:val="nil"/>
            </w:tcBorders>
          </w:tcPr>
          <w:p w14:paraId="1EBDE16E" w14:textId="77777777" w:rsidR="001E523D" w:rsidRPr="00626D32" w:rsidRDefault="001E523D" w:rsidP="00A4323F">
            <w:pPr>
              <w:pStyle w:val="BoxSpaceBelow"/>
            </w:pPr>
          </w:p>
        </w:tc>
      </w:tr>
    </w:tbl>
    <w:p w14:paraId="21F01E17" w14:textId="77777777" w:rsidR="0090567C" w:rsidRDefault="0090567C" w:rsidP="0090567C">
      <w:pPr>
        <w:pStyle w:val="BoxSpaceAbove"/>
      </w:pPr>
      <w:bookmarkStart w:id="24" w:name="_Toc18675363"/>
      <w:bookmarkStart w:id="25" w:name="_Toc2756446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0567C" w14:paraId="2720EEEB" w14:textId="77777777" w:rsidTr="0053407F">
        <w:tc>
          <w:tcPr>
            <w:tcW w:w="5000" w:type="pct"/>
            <w:tcBorders>
              <w:top w:val="single" w:sz="6" w:space="0" w:color="78A22F"/>
              <w:left w:val="nil"/>
              <w:bottom w:val="nil"/>
              <w:right w:val="nil"/>
            </w:tcBorders>
            <w:shd w:val="clear" w:color="auto" w:fill="F2F2F2" w:themeFill="background1" w:themeFillShade="F2"/>
          </w:tcPr>
          <w:p w14:paraId="13BF25FC" w14:textId="763EBC75" w:rsidR="0090567C" w:rsidRDefault="0090567C" w:rsidP="0053407F">
            <w:pPr>
              <w:pStyle w:val="BoxTitle"/>
            </w:pPr>
            <w:r>
              <w:rPr>
                <w:b w:val="0"/>
              </w:rPr>
              <w:t>Box 18.</w:t>
            </w:r>
            <w:r>
              <w:rPr>
                <w:b w:val="0"/>
                <w:noProof/>
              </w:rPr>
              <w:t>5</w:t>
            </w:r>
            <w:r>
              <w:tab/>
            </w:r>
            <w:r w:rsidR="00E64E48">
              <w:rPr>
                <w:b w:val="0"/>
                <w:sz w:val="18"/>
                <w:szCs w:val="18"/>
              </w:rPr>
              <w:t>(c</w:t>
            </w:r>
            <w:r w:rsidR="00E64E48" w:rsidRPr="00ED061E">
              <w:rPr>
                <w:b w:val="0"/>
                <w:sz w:val="18"/>
                <w:szCs w:val="18"/>
              </w:rPr>
              <w:t>ontinued</w:t>
            </w:r>
            <w:r w:rsidR="00E64E48">
              <w:rPr>
                <w:b w:val="0"/>
                <w:sz w:val="18"/>
                <w:szCs w:val="18"/>
              </w:rPr>
              <w:t>)</w:t>
            </w:r>
          </w:p>
        </w:tc>
      </w:tr>
      <w:tr w:rsidR="0090567C" w14:paraId="72FA633B" w14:textId="77777777" w:rsidTr="0053407F">
        <w:trPr>
          <w:cantSplit/>
        </w:trPr>
        <w:tc>
          <w:tcPr>
            <w:tcW w:w="5000" w:type="pct"/>
            <w:tcBorders>
              <w:top w:val="nil"/>
              <w:left w:val="nil"/>
              <w:bottom w:val="nil"/>
              <w:right w:val="nil"/>
            </w:tcBorders>
            <w:shd w:val="clear" w:color="auto" w:fill="F2F2F2" w:themeFill="background1" w:themeFillShade="F2"/>
          </w:tcPr>
          <w:p w14:paraId="000B35F5" w14:textId="77777777" w:rsidR="0090567C" w:rsidRPr="00DC04F0" w:rsidRDefault="0090567C" w:rsidP="0053407F">
            <w:pPr>
              <w:pStyle w:val="Box"/>
              <w:rPr>
                <w:lang w:eastAsia="en-US"/>
              </w:rPr>
            </w:pPr>
            <w:r w:rsidRPr="005E340A">
              <w:t xml:space="preserve">Data for this </w:t>
            </w:r>
            <w:r w:rsidRPr="004D5C60">
              <w:t>measure</w:t>
            </w:r>
            <w:r w:rsidRPr="005E340A">
              <w:t xml:space="preserve"> are reported for public housing, SOMIH, community housing and ICH</w:t>
            </w:r>
            <w:r>
              <w:t xml:space="preserve"> and are:</w:t>
            </w:r>
          </w:p>
          <w:p w14:paraId="49219F0B" w14:textId="77777777" w:rsidR="0090567C" w:rsidRPr="00091189" w:rsidRDefault="0090567C" w:rsidP="0053407F">
            <w:pPr>
              <w:pStyle w:val="BoxListBullet"/>
              <w:numPr>
                <w:ilvl w:val="0"/>
                <w:numId w:val="0"/>
              </w:numPr>
              <w:ind w:left="284"/>
            </w:pPr>
            <w:r w:rsidRPr="001211EE">
              <w:rPr>
                <w:shd w:val="clear" w:color="auto" w:fill="FCDED3"/>
              </w:rPr>
              <w:t xml:space="preserve">    </w:t>
            </w:r>
            <w:r>
              <w:t xml:space="preserve"> </w:t>
            </w:r>
            <w:r w:rsidRPr="00564102">
              <w:t xml:space="preserve">not comparable across public housing, SOMIH, community housing and ICH, but are comparable </w:t>
            </w:r>
            <w:r>
              <w:t xml:space="preserve">(subject to caveats) </w:t>
            </w:r>
            <w:r w:rsidRPr="00564102">
              <w:t>across jurisdictions</w:t>
            </w:r>
            <w:r>
              <w:t xml:space="preserve"> </w:t>
            </w:r>
            <w:r w:rsidRPr="002E5455">
              <w:t>and over time</w:t>
            </w:r>
            <w:r w:rsidRPr="005F3E54">
              <w:t>.</w:t>
            </w:r>
          </w:p>
          <w:p w14:paraId="29DF34D4" w14:textId="42FE76DF" w:rsidR="0090567C" w:rsidRPr="005E340A" w:rsidRDefault="0090567C" w:rsidP="0053407F">
            <w:pPr>
              <w:pStyle w:val="BoxListBullet"/>
              <w:numPr>
                <w:ilvl w:val="0"/>
                <w:numId w:val="0"/>
              </w:numPr>
              <w:ind w:left="284"/>
            </w:pPr>
            <w:r w:rsidRPr="00C66F12">
              <w:rPr>
                <w:shd w:val="clear" w:color="auto" w:fill="FCDED3"/>
              </w:rPr>
              <w:t xml:space="preserve">    </w:t>
            </w:r>
            <w:r>
              <w:t xml:space="preserve"> </w:t>
            </w:r>
            <w:r w:rsidRPr="00F960D2">
              <w:t xml:space="preserve">incomplete for the current reporting period for community housing (all required 30 June </w:t>
            </w:r>
            <w:r>
              <w:t>2021</w:t>
            </w:r>
            <w:r w:rsidRPr="00710B94">
              <w:rPr>
                <w:color w:val="00B050"/>
              </w:rPr>
              <w:t xml:space="preserve"> </w:t>
            </w:r>
            <w:r w:rsidRPr="00F960D2">
              <w:t>data were not available for the NT)</w:t>
            </w:r>
            <w:r>
              <w:t xml:space="preserve"> and </w:t>
            </w:r>
            <w:r w:rsidRPr="005E340A">
              <w:t xml:space="preserve">ICH (all </w:t>
            </w:r>
            <w:r w:rsidRPr="00D51E02">
              <w:t>required</w:t>
            </w:r>
            <w:r>
              <w:t> </w:t>
            </w:r>
            <w:r w:rsidRPr="003A69C6">
              <w:t>30 June 202</w:t>
            </w:r>
            <w:r w:rsidR="008336FA" w:rsidRPr="003A69C6">
              <w:t>1</w:t>
            </w:r>
            <w:r w:rsidRPr="003A69C6">
              <w:rPr>
                <w:color w:val="FF0000"/>
              </w:rPr>
              <w:t xml:space="preserve"> </w:t>
            </w:r>
            <w:r w:rsidRPr="003A69C6">
              <w:t>data</w:t>
            </w:r>
            <w:r w:rsidRPr="00E323E7">
              <w:t xml:space="preserve"> were not available </w:t>
            </w:r>
            <w:r w:rsidRPr="00B60CE0">
              <w:t>for Tasmania and the NT</w:t>
            </w:r>
            <w:r w:rsidRPr="00E323E7">
              <w:t>), but are complete for public housing and SOMIH</w:t>
            </w:r>
            <w:r w:rsidRPr="00564102">
              <w:t xml:space="preserve"> (30</w:t>
            </w:r>
            <w:r>
              <w:t> </w:t>
            </w:r>
            <w:r w:rsidRPr="00564102">
              <w:t>June</w:t>
            </w:r>
            <w:r>
              <w:t xml:space="preserve"> 2021</w:t>
            </w:r>
            <w:r w:rsidRPr="00564102">
              <w:t>).</w:t>
            </w:r>
          </w:p>
        </w:tc>
      </w:tr>
      <w:tr w:rsidR="0090567C" w14:paraId="2F736BF7" w14:textId="77777777" w:rsidTr="0053407F">
        <w:trPr>
          <w:cantSplit/>
        </w:trPr>
        <w:tc>
          <w:tcPr>
            <w:tcW w:w="5000" w:type="pct"/>
            <w:tcBorders>
              <w:top w:val="nil"/>
              <w:left w:val="nil"/>
              <w:bottom w:val="single" w:sz="6" w:space="0" w:color="78A22F"/>
              <w:right w:val="nil"/>
            </w:tcBorders>
            <w:shd w:val="clear" w:color="auto" w:fill="F2F2F2" w:themeFill="background1" w:themeFillShade="F2"/>
          </w:tcPr>
          <w:p w14:paraId="0ABDD3CF" w14:textId="77777777" w:rsidR="0090567C" w:rsidRDefault="0090567C" w:rsidP="0053407F">
            <w:pPr>
              <w:pStyle w:val="Box"/>
              <w:spacing w:before="0" w:line="120" w:lineRule="exact"/>
            </w:pPr>
          </w:p>
        </w:tc>
      </w:tr>
      <w:tr w:rsidR="0090567C" w:rsidRPr="000863A5" w14:paraId="2D3C3AC7" w14:textId="77777777" w:rsidTr="0053407F">
        <w:tc>
          <w:tcPr>
            <w:tcW w:w="5000" w:type="pct"/>
            <w:tcBorders>
              <w:top w:val="single" w:sz="6" w:space="0" w:color="78A22F"/>
              <w:left w:val="nil"/>
              <w:bottom w:val="nil"/>
              <w:right w:val="nil"/>
            </w:tcBorders>
          </w:tcPr>
          <w:p w14:paraId="7A01AC4F" w14:textId="77777777" w:rsidR="0090567C" w:rsidRPr="00626D32" w:rsidRDefault="0090567C" w:rsidP="0053407F">
            <w:pPr>
              <w:pStyle w:val="BoxSpaceBelow"/>
            </w:pPr>
          </w:p>
        </w:tc>
      </w:tr>
    </w:tbl>
    <w:p w14:paraId="3D5981F0" w14:textId="77777777" w:rsidR="001E523D" w:rsidRPr="00E66BE3" w:rsidRDefault="001E523D" w:rsidP="001E523D">
      <w:pPr>
        <w:pStyle w:val="Heading4"/>
      </w:pPr>
      <w:r>
        <w:t xml:space="preserve">Appropriateness — </w:t>
      </w:r>
      <w:r w:rsidRPr="00E66BE3">
        <w:t>Amenity/location</w:t>
      </w:r>
      <w:bookmarkEnd w:id="24"/>
      <w:bookmarkEnd w:id="25"/>
    </w:p>
    <w:p w14:paraId="04829B3B" w14:textId="2DDAA569" w:rsidR="00E53002" w:rsidRDefault="001E523D" w:rsidP="001E523D">
      <w:pPr>
        <w:pStyle w:val="BodyText"/>
      </w:pPr>
      <w:r>
        <w:t xml:space="preserve">‘Amenity/location’ is an indicator of governments’ objective to provide services that are appropriate, </w:t>
      </w:r>
      <w:r w:rsidRPr="00250E4E">
        <w:t xml:space="preserve">meeting </w:t>
      </w:r>
      <w:r>
        <w:t xml:space="preserve">the needs of </w:t>
      </w:r>
      <w:r w:rsidRPr="00250E4E">
        <w:t xml:space="preserve">individual </w:t>
      </w:r>
      <w:r>
        <w:t>households (box 18.6).</w:t>
      </w:r>
    </w:p>
    <w:p w14:paraId="4EE38D13" w14:textId="7C19EA6C"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673F675E" w14:textId="77777777" w:rsidTr="00A4323F">
        <w:trPr>
          <w:tblHeader/>
        </w:trPr>
        <w:tc>
          <w:tcPr>
            <w:tcW w:w="5000" w:type="pct"/>
            <w:tcBorders>
              <w:top w:val="single" w:sz="6" w:space="0" w:color="78A22F"/>
              <w:left w:val="nil"/>
              <w:bottom w:val="nil"/>
              <w:right w:val="nil"/>
            </w:tcBorders>
            <w:shd w:val="clear" w:color="auto" w:fill="F2F2F2"/>
          </w:tcPr>
          <w:p w14:paraId="0AA7ED18" w14:textId="0AAB7F52" w:rsidR="001E523D" w:rsidRDefault="001E523D" w:rsidP="001A279F">
            <w:pPr>
              <w:pStyle w:val="BoxTitle"/>
            </w:pPr>
            <w:r>
              <w:rPr>
                <w:b w:val="0"/>
              </w:rPr>
              <w:t>Box 18.6</w:t>
            </w:r>
            <w:r>
              <w:tab/>
              <w:t>Amenity/location</w:t>
            </w:r>
          </w:p>
        </w:tc>
      </w:tr>
      <w:tr w:rsidR="001E523D" w14:paraId="1C457039" w14:textId="77777777" w:rsidTr="00A4323F">
        <w:tc>
          <w:tcPr>
            <w:tcW w:w="5000" w:type="pct"/>
            <w:tcBorders>
              <w:top w:val="nil"/>
              <w:left w:val="nil"/>
              <w:bottom w:val="nil"/>
              <w:right w:val="nil"/>
            </w:tcBorders>
            <w:shd w:val="clear" w:color="auto" w:fill="F2F2F2"/>
          </w:tcPr>
          <w:p w14:paraId="0CB21FA7" w14:textId="70B5D2D5" w:rsidR="00D74768" w:rsidRPr="00F274C3" w:rsidRDefault="001E523D" w:rsidP="00D74768">
            <w:pPr>
              <w:pStyle w:val="Box"/>
              <w:rPr>
                <w:b/>
                <w:bCs/>
                <w:color w:val="C00000"/>
              </w:rPr>
            </w:pPr>
            <w:r w:rsidRPr="003336F0">
              <w:t xml:space="preserve">‘Amenity/location’ is defined as the proportion of households </w:t>
            </w:r>
            <w:r w:rsidRPr="00F274C3">
              <w:t xml:space="preserve">that </w:t>
            </w:r>
            <w:r w:rsidRPr="004553D3">
              <w:t xml:space="preserve">rate </w:t>
            </w:r>
            <w:r w:rsidR="00D74768" w:rsidRPr="004553D3">
              <w:t>dwellings as meeting their needs</w:t>
            </w:r>
            <w:r w:rsidR="00D74768" w:rsidRPr="00F274C3">
              <w:t xml:space="preserve"> for </w:t>
            </w:r>
            <w:r w:rsidRPr="00F274C3">
              <w:t>particular aspect</w:t>
            </w:r>
            <w:r w:rsidR="00D74768" w:rsidRPr="00F274C3">
              <w:t>s</w:t>
            </w:r>
            <w:r w:rsidRPr="00F274C3">
              <w:t xml:space="preserve"> of amenity and location</w:t>
            </w:r>
            <w:r w:rsidR="00D74768" w:rsidRPr="00F274C3">
              <w:t>, and is presented as a mean of the proportion of households with needs met across (a) dwelling amenity aspects and (b) dwelling location aspects.</w:t>
            </w:r>
          </w:p>
          <w:p w14:paraId="2F38D3A6" w14:textId="77777777" w:rsidR="001E523D" w:rsidRDefault="006145A2" w:rsidP="0015005A">
            <w:pPr>
              <w:pStyle w:val="Box"/>
            </w:pPr>
            <w:r w:rsidRPr="004553D3">
              <w:t>‘Amenity’ aspects include: number of bedrooms, privacy, safety and security — of the home, and of the neighbourhood — comfort in hot/cold weather and energy efficiency. Amenity aspects also include, for households rating them as important: size of living spaces, storage, fixtures/structural modifications for special needs, ease of access/entry from the street, car parking, access to an outdoor space, fencing/enclosure of the space, and water efficiency of the bathroom/toilet.</w:t>
            </w:r>
            <w:r w:rsidR="007C0F8E" w:rsidRPr="004553D3">
              <w:t xml:space="preserve"> </w:t>
            </w:r>
          </w:p>
          <w:p w14:paraId="4C98689A" w14:textId="77777777" w:rsidR="001A6FDD" w:rsidRDefault="001A6FDD" w:rsidP="0015005A">
            <w:pPr>
              <w:pStyle w:val="Box"/>
            </w:pPr>
            <w:r w:rsidRPr="004553D3">
              <w:t>‘Location’ aspects include proximity to shops and banking facilities, medical services and family and friends. ‘Location’ aspects also include, for households rating them as important, proximity to facilities and services such as: public transport, hospitals, child care facilities, schools, TAFE, university or other training, employment/place of work, community services and parks, recreation or sporting facilities.</w:t>
            </w:r>
          </w:p>
          <w:p w14:paraId="72DECACA" w14:textId="77777777" w:rsidR="00042024" w:rsidRDefault="00042024" w:rsidP="0015005A">
            <w:pPr>
              <w:pStyle w:val="Box"/>
            </w:pPr>
            <w:r>
              <w:t>High or increasing proportions of households with amenity and location needs met are desirable.</w:t>
            </w:r>
          </w:p>
          <w:p w14:paraId="6816AC01" w14:textId="77777777" w:rsidR="003A385C" w:rsidRPr="003336F0" w:rsidRDefault="003A385C" w:rsidP="003A385C">
            <w:pPr>
              <w:pStyle w:val="Box"/>
            </w:pPr>
            <w:r w:rsidRPr="003336F0">
              <w:t>Data for this measure are reported for public housing, SOMIH and community housing (ICH data are not available) and are:</w:t>
            </w:r>
          </w:p>
          <w:p w14:paraId="1D886A44" w14:textId="77777777" w:rsidR="00FD25E0" w:rsidRDefault="003A385C" w:rsidP="00FD25E0">
            <w:pPr>
              <w:pStyle w:val="BoxListBullet"/>
              <w:numPr>
                <w:ilvl w:val="0"/>
                <w:numId w:val="0"/>
              </w:numPr>
              <w:ind w:left="284"/>
            </w:pPr>
            <w:r w:rsidRPr="00C66F12">
              <w:rPr>
                <w:shd w:val="clear" w:color="auto" w:fill="FCDED3"/>
              </w:rPr>
              <w:t xml:space="preserve">    </w:t>
            </w:r>
            <w:r>
              <w:t xml:space="preserve"> </w:t>
            </w:r>
            <w:r w:rsidRPr="003336F0">
              <w:t>not comparable across public housing, SOMIH and community housing due to the different demographic profiles of Aboriginal and Torres Strait Islander tenants and the method of data collection</w:t>
            </w:r>
            <w:r w:rsidRPr="00D812B8">
              <w:t xml:space="preserve">, </w:t>
            </w:r>
            <w:r>
              <w:t xml:space="preserve">but are </w:t>
            </w:r>
            <w:r w:rsidRPr="004553D3">
              <w:t>comparable (subject to caveats) across jurisdictions. Due to a break in series, data for 2021 are not comparable to data for previous years</w:t>
            </w:r>
          </w:p>
          <w:p w14:paraId="01545B76" w14:textId="1984FA70" w:rsidR="003A385C" w:rsidRPr="00042024" w:rsidRDefault="003A385C" w:rsidP="00FD25E0">
            <w:pPr>
              <w:pStyle w:val="BoxListBullet"/>
              <w:numPr>
                <w:ilvl w:val="0"/>
                <w:numId w:val="0"/>
              </w:numPr>
              <w:ind w:left="284"/>
            </w:pPr>
            <w:r w:rsidRPr="00C66F12">
              <w:rPr>
                <w:shd w:val="clear" w:color="auto" w:fill="FCDED3"/>
              </w:rPr>
              <w:t xml:space="preserve">    </w:t>
            </w:r>
            <w:r>
              <w:t xml:space="preserve"> </w:t>
            </w:r>
            <w:r w:rsidRPr="00D812B8">
              <w:t xml:space="preserve">incomplete for the current reporting </w:t>
            </w:r>
            <w:r w:rsidRPr="00901FC1">
              <w:t xml:space="preserve">period for community housing and SOMIH (all required </w:t>
            </w:r>
            <w:r w:rsidRPr="004553D3">
              <w:t>2021</w:t>
            </w:r>
            <w:r w:rsidRPr="00901FC1">
              <w:t xml:space="preserve"> data were not available for the NT) but are complete for public housing.</w:t>
            </w:r>
          </w:p>
        </w:tc>
      </w:tr>
      <w:tr w:rsidR="001E523D" w14:paraId="786C1F38" w14:textId="77777777" w:rsidTr="00A4323F">
        <w:tc>
          <w:tcPr>
            <w:tcW w:w="5000" w:type="pct"/>
            <w:tcBorders>
              <w:top w:val="nil"/>
              <w:left w:val="nil"/>
              <w:bottom w:val="single" w:sz="6" w:space="0" w:color="78A22F"/>
              <w:right w:val="nil"/>
            </w:tcBorders>
            <w:shd w:val="clear" w:color="auto" w:fill="F2F2F2"/>
          </w:tcPr>
          <w:p w14:paraId="7FDDBB6C" w14:textId="77777777" w:rsidR="001E523D" w:rsidRDefault="001E523D" w:rsidP="00A4323F">
            <w:pPr>
              <w:pStyle w:val="Box"/>
              <w:spacing w:before="0" w:line="120" w:lineRule="exact"/>
            </w:pPr>
          </w:p>
        </w:tc>
      </w:tr>
      <w:tr w:rsidR="001E523D" w:rsidRPr="000863A5" w14:paraId="20A5EAAD" w14:textId="77777777" w:rsidTr="00A4323F">
        <w:tc>
          <w:tcPr>
            <w:tcW w:w="5000" w:type="pct"/>
            <w:tcBorders>
              <w:top w:val="single" w:sz="6" w:space="0" w:color="78A22F"/>
              <w:left w:val="nil"/>
              <w:bottom w:val="nil"/>
              <w:right w:val="nil"/>
            </w:tcBorders>
          </w:tcPr>
          <w:p w14:paraId="66F6AF09" w14:textId="094338C9" w:rsidR="001E523D" w:rsidRPr="00626D32" w:rsidRDefault="001E523D" w:rsidP="00A4323F">
            <w:pPr>
              <w:pStyle w:val="BoxSpaceBelow"/>
            </w:pPr>
          </w:p>
        </w:tc>
      </w:tr>
    </w:tbl>
    <w:p w14:paraId="685D14BA" w14:textId="77777777" w:rsidR="001E523D" w:rsidRPr="003770C0" w:rsidRDefault="001E523D" w:rsidP="001E523D">
      <w:pPr>
        <w:pStyle w:val="Heading4"/>
      </w:pPr>
      <w:bookmarkStart w:id="26" w:name="_Toc18675364"/>
      <w:bookmarkStart w:id="27" w:name="_Toc27564461"/>
      <w:r>
        <w:lastRenderedPageBreak/>
        <w:t xml:space="preserve">Quality — </w:t>
      </w:r>
      <w:r w:rsidRPr="003770C0">
        <w:t>Dwelling condition</w:t>
      </w:r>
      <w:bookmarkEnd w:id="26"/>
      <w:bookmarkEnd w:id="27"/>
    </w:p>
    <w:p w14:paraId="55F103DA" w14:textId="77777777" w:rsidR="001E523D" w:rsidRPr="00DC04F0" w:rsidRDefault="001E523D" w:rsidP="001E523D">
      <w:pPr>
        <w:pStyle w:val="BodyText"/>
        <w:rPr>
          <w:lang w:eastAsia="en-US"/>
        </w:rPr>
      </w:pPr>
      <w:r>
        <w:t>‘Dwelling condition’ is a proxy indicator of governments’ objective to provide services that are high quality and safe (box 18.7).</w:t>
      </w:r>
    </w:p>
    <w:p w14:paraId="19CD7AC6"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4063448C" w14:textId="77777777" w:rsidTr="676085C9">
        <w:tc>
          <w:tcPr>
            <w:tcW w:w="5000" w:type="pct"/>
            <w:tcBorders>
              <w:top w:val="single" w:sz="6" w:space="0" w:color="78A22F" w:themeColor="accent1"/>
              <w:left w:val="nil"/>
              <w:bottom w:val="nil"/>
              <w:right w:val="nil"/>
            </w:tcBorders>
            <w:shd w:val="clear" w:color="auto" w:fill="F2F2F2" w:themeFill="background1" w:themeFillShade="F2"/>
          </w:tcPr>
          <w:p w14:paraId="7AEBBA9E" w14:textId="77777777" w:rsidR="001E523D" w:rsidRDefault="001E523D" w:rsidP="00A4323F">
            <w:pPr>
              <w:pStyle w:val="BoxTitle"/>
              <w:tabs>
                <w:tab w:val="left" w:pos="720"/>
                <w:tab w:val="left" w:pos="1440"/>
                <w:tab w:val="left" w:pos="2160"/>
                <w:tab w:val="left" w:pos="2880"/>
                <w:tab w:val="left" w:pos="3600"/>
                <w:tab w:val="left" w:pos="5100"/>
              </w:tabs>
            </w:pPr>
            <w:r>
              <w:rPr>
                <w:b w:val="0"/>
              </w:rPr>
              <w:t>Box 18.</w:t>
            </w:r>
            <w:r>
              <w:rPr>
                <w:b w:val="0"/>
                <w:noProof/>
              </w:rPr>
              <w:t>7</w:t>
            </w:r>
            <w:r>
              <w:tab/>
            </w:r>
            <w:r w:rsidRPr="008023AD">
              <w:t>Dwelling condition</w:t>
            </w:r>
            <w:r>
              <w:tab/>
            </w:r>
            <w:r>
              <w:tab/>
            </w:r>
          </w:p>
        </w:tc>
      </w:tr>
      <w:tr w:rsidR="001E523D" w14:paraId="1C7D700C" w14:textId="77777777" w:rsidTr="676085C9">
        <w:trPr>
          <w:cantSplit/>
        </w:trPr>
        <w:tc>
          <w:tcPr>
            <w:tcW w:w="5000" w:type="pct"/>
            <w:tcBorders>
              <w:top w:val="nil"/>
              <w:left w:val="nil"/>
              <w:bottom w:val="nil"/>
              <w:right w:val="nil"/>
            </w:tcBorders>
            <w:shd w:val="clear" w:color="auto" w:fill="F2F2F2" w:themeFill="background1" w:themeFillShade="F2"/>
          </w:tcPr>
          <w:p w14:paraId="3B498028" w14:textId="77777777" w:rsidR="001E523D" w:rsidRPr="00DC04F0" w:rsidRDefault="001E523D" w:rsidP="00A4323F">
            <w:pPr>
              <w:pStyle w:val="Box"/>
              <w:rPr>
                <w:lang w:eastAsia="en-US"/>
              </w:rPr>
            </w:pPr>
            <w:r w:rsidRPr="00B704A4">
              <w:t xml:space="preserve">‘Dwelling condition’ is defined as the proportion of households living in dwellings </w:t>
            </w:r>
            <w:r>
              <w:t>that meet agreed minimum acceptable standards</w:t>
            </w:r>
            <w:r w:rsidRPr="00B704A4">
              <w:t xml:space="preserve">. A dwelling is assessed as </w:t>
            </w:r>
            <w:r>
              <w:t>meeting minimum acceptable standards</w:t>
            </w:r>
            <w:r w:rsidRPr="00B704A4">
              <w:t xml:space="preserve"> if it has at least four working facilities (for washing people, for washing clothes/bedding, for storing/preparing food, and </w:t>
            </w:r>
            <w:r>
              <w:t xml:space="preserve">for removing </w:t>
            </w:r>
            <w:r w:rsidRPr="00B704A4">
              <w:t>sewerage) and not more than two major structural problems.</w:t>
            </w:r>
          </w:p>
          <w:p w14:paraId="0DC65B72" w14:textId="08156B22" w:rsidR="001E523D" w:rsidRDefault="001E523D" w:rsidP="00A4323F">
            <w:pPr>
              <w:pStyle w:val="Box"/>
            </w:pPr>
            <w:r w:rsidRPr="00C21EFD">
              <w:t xml:space="preserve">This is a proxy </w:t>
            </w:r>
            <w:r>
              <w:t xml:space="preserve">indicator </w:t>
            </w:r>
            <w:r w:rsidRPr="00C21EFD">
              <w:t xml:space="preserve">of </w:t>
            </w:r>
            <w:r>
              <w:t>safety</w:t>
            </w:r>
            <w:r w:rsidRPr="00C21EFD">
              <w:t xml:space="preserve"> </w:t>
            </w:r>
            <w:r>
              <w:t xml:space="preserve">as it </w:t>
            </w:r>
            <w:r w:rsidRPr="00C21EFD">
              <w:t>measure</w:t>
            </w:r>
            <w:r>
              <w:t>s</w:t>
            </w:r>
            <w:r w:rsidRPr="00C21EFD">
              <w:t xml:space="preserve"> the extent to which dwellings conform to agreed minimum standards. </w:t>
            </w:r>
            <w:r>
              <w:t>The survey collections ask respondents (</w:t>
            </w:r>
            <w:r w:rsidRPr="002C7FDC">
              <w:t>AIHW 2019):</w:t>
            </w:r>
          </w:p>
          <w:p w14:paraId="0DAEE0E2" w14:textId="77777777" w:rsidR="001E523D" w:rsidRDefault="001E523D" w:rsidP="00A4323F">
            <w:pPr>
              <w:pStyle w:val="BoxListBullet"/>
            </w:pPr>
            <w:r>
              <w:t>which of a list of facilities is present in their dwelling and whether each is in working order</w:t>
            </w:r>
          </w:p>
          <w:p w14:paraId="08F607FC" w14:textId="77777777" w:rsidR="001E523D" w:rsidRPr="00B704A4" w:rsidRDefault="001E523D" w:rsidP="00A4323F">
            <w:pPr>
              <w:pStyle w:val="BoxListBullet"/>
            </w:pPr>
            <w:r>
              <w:t>which of a list of structural problems is present in their dwelling.</w:t>
            </w:r>
          </w:p>
          <w:p w14:paraId="619D05C4" w14:textId="1BC5F799" w:rsidR="001E523D" w:rsidRPr="00B704A4" w:rsidRDefault="001E523D" w:rsidP="00A4323F">
            <w:pPr>
              <w:pStyle w:val="Box"/>
            </w:pPr>
            <w:r w:rsidRPr="00661335">
              <w:t xml:space="preserve">A high or increasing </w:t>
            </w:r>
            <w:r w:rsidRPr="00B704A4">
              <w:t xml:space="preserve">proportion </w:t>
            </w:r>
            <w:r>
              <w:t>of households living in dwellings that meet minimum acceptable standards</w:t>
            </w:r>
            <w:r w:rsidRPr="00B704A4">
              <w:t xml:space="preserve"> suggests </w:t>
            </w:r>
            <w:r w:rsidRPr="00DC1255">
              <w:t>a low or decreasing risk of harm from poor dwelling condition.</w:t>
            </w:r>
          </w:p>
          <w:p w14:paraId="5FF32B62" w14:textId="77777777" w:rsidR="001E523D" w:rsidRPr="00B704A4" w:rsidRDefault="001E523D" w:rsidP="00A4323F">
            <w:pPr>
              <w:pStyle w:val="Box"/>
            </w:pPr>
            <w:r w:rsidRPr="00B704A4">
              <w:t>Data for this indicator are reported for public housing, SOMIH</w:t>
            </w:r>
            <w:r>
              <w:t xml:space="preserve">, </w:t>
            </w:r>
            <w:r w:rsidRPr="00B704A4">
              <w:t>community housing</w:t>
            </w:r>
            <w:r>
              <w:t xml:space="preserve"> and ICH and are</w:t>
            </w:r>
            <w:r w:rsidRPr="00B704A4">
              <w:t>:</w:t>
            </w:r>
          </w:p>
          <w:p w14:paraId="0ED4401F" w14:textId="77777777" w:rsidR="001E523D" w:rsidRPr="003336F0" w:rsidRDefault="001E523D" w:rsidP="00A4323F">
            <w:pPr>
              <w:pStyle w:val="BoxListBullet"/>
              <w:numPr>
                <w:ilvl w:val="0"/>
                <w:numId w:val="0"/>
              </w:numPr>
              <w:ind w:left="284"/>
            </w:pPr>
            <w:r w:rsidRPr="00C66F12">
              <w:rPr>
                <w:shd w:val="clear" w:color="auto" w:fill="FCDED3"/>
              </w:rPr>
              <w:t xml:space="preserve">    </w:t>
            </w:r>
            <w:r>
              <w:t xml:space="preserve"> </w:t>
            </w:r>
            <w:r w:rsidRPr="000E6AE9">
              <w:t>not comparable across public housing, SOMIH</w:t>
            </w:r>
            <w:r>
              <w:t>,</w:t>
            </w:r>
            <w:r w:rsidRPr="000E6AE9">
              <w:t xml:space="preserve"> community housing </w:t>
            </w:r>
            <w:r>
              <w:t xml:space="preserve">and ICH </w:t>
            </w:r>
            <w:r w:rsidRPr="000E6AE9">
              <w:t>due to the different demographic profile</w:t>
            </w:r>
            <w:r>
              <w:t>s</w:t>
            </w:r>
            <w:r w:rsidRPr="000E6AE9">
              <w:t xml:space="preserve"> of Aboriginal and Torres Strait Islander tenants and the method of data collection</w:t>
            </w:r>
            <w:r w:rsidRPr="00205A1A">
              <w:t xml:space="preserve">, but are comparable </w:t>
            </w:r>
            <w:r>
              <w:t xml:space="preserve">(subject to caveats) </w:t>
            </w:r>
            <w:r w:rsidRPr="00205A1A">
              <w:t>acr</w:t>
            </w:r>
            <w:r>
              <w:t>oss jurisdictions and over time</w:t>
            </w:r>
          </w:p>
          <w:p w14:paraId="7FAC9FDA" w14:textId="38C272DC" w:rsidR="001E523D" w:rsidRPr="00B704A4" w:rsidRDefault="001E523D" w:rsidP="002249D4">
            <w:pPr>
              <w:pStyle w:val="BoxListBullet"/>
              <w:numPr>
                <w:ilvl w:val="0"/>
                <w:numId w:val="0"/>
              </w:numPr>
              <w:ind w:left="284"/>
            </w:pPr>
            <w:r w:rsidRPr="00C66F12">
              <w:rPr>
                <w:shd w:val="clear" w:color="auto" w:fill="FCDED3"/>
              </w:rPr>
              <w:t xml:space="preserve">    </w:t>
            </w:r>
            <w:r>
              <w:t xml:space="preserve"> </w:t>
            </w:r>
            <w:r w:rsidRPr="003336F0">
              <w:t xml:space="preserve">incomplete for </w:t>
            </w:r>
            <w:r w:rsidRPr="00205A1A">
              <w:t xml:space="preserve">SOMIH and </w:t>
            </w:r>
            <w:r w:rsidRPr="003336F0">
              <w:t xml:space="preserve">community housing for the current reporting period </w:t>
            </w:r>
            <w:r>
              <w:t>(a</w:t>
            </w:r>
            <w:r w:rsidRPr="003336F0">
              <w:t xml:space="preserve">ll required </w:t>
            </w:r>
            <w:r w:rsidR="00AB4E64">
              <w:t xml:space="preserve">2021 </w:t>
            </w:r>
            <w:r w:rsidRPr="003336F0">
              <w:t xml:space="preserve">data </w:t>
            </w:r>
            <w:r w:rsidRPr="00901FC1">
              <w:t>are not available for the NT), but are complete for public housing (</w:t>
            </w:r>
            <w:r w:rsidRPr="004553D3">
              <w:t xml:space="preserve">all required </w:t>
            </w:r>
            <w:r w:rsidR="00AB4E64" w:rsidRPr="004553D3">
              <w:t xml:space="preserve">2021 </w:t>
            </w:r>
            <w:r w:rsidRPr="004553D3">
              <w:t>data</w:t>
            </w:r>
            <w:r w:rsidRPr="00901FC1">
              <w:t>) and ICH (all</w:t>
            </w:r>
            <w:r w:rsidRPr="00205A1A">
              <w:t xml:space="preserve"> required </w:t>
            </w:r>
            <w:r w:rsidR="00FD1E25" w:rsidRPr="00205A1A">
              <w:t>201</w:t>
            </w:r>
            <w:r w:rsidR="00FD1E25">
              <w:t>8</w:t>
            </w:r>
            <w:r w:rsidR="00FD1E25">
              <w:noBreakHyphen/>
            </w:r>
            <w:r w:rsidR="00FD1E25" w:rsidRPr="00205A1A">
              <w:t>1</w:t>
            </w:r>
            <w:r w:rsidR="00FD1E25">
              <w:t>9</w:t>
            </w:r>
            <w:r w:rsidR="00FD1E25" w:rsidRPr="00205A1A">
              <w:t xml:space="preserve"> </w:t>
            </w:r>
            <w:r w:rsidRPr="00205A1A">
              <w:t>data).</w:t>
            </w:r>
          </w:p>
        </w:tc>
      </w:tr>
      <w:tr w:rsidR="001E523D" w14:paraId="24FB826D" w14:textId="77777777" w:rsidTr="676085C9">
        <w:trPr>
          <w:cantSplit/>
        </w:trPr>
        <w:tc>
          <w:tcPr>
            <w:tcW w:w="5000" w:type="pct"/>
            <w:tcBorders>
              <w:top w:val="nil"/>
              <w:left w:val="nil"/>
              <w:bottom w:val="single" w:sz="6" w:space="0" w:color="78A22F" w:themeColor="accent1"/>
              <w:right w:val="nil"/>
            </w:tcBorders>
            <w:shd w:val="clear" w:color="auto" w:fill="F2F2F2" w:themeFill="background1" w:themeFillShade="F2"/>
          </w:tcPr>
          <w:p w14:paraId="13404DF6" w14:textId="77777777" w:rsidR="001E523D" w:rsidRDefault="001E523D" w:rsidP="00A4323F">
            <w:pPr>
              <w:pStyle w:val="Box"/>
              <w:spacing w:before="0" w:line="120" w:lineRule="exact"/>
            </w:pPr>
          </w:p>
        </w:tc>
      </w:tr>
      <w:tr w:rsidR="001E523D" w:rsidRPr="000863A5" w14:paraId="7F054C4A" w14:textId="77777777" w:rsidTr="676085C9">
        <w:tc>
          <w:tcPr>
            <w:tcW w:w="5000" w:type="pct"/>
            <w:tcBorders>
              <w:top w:val="single" w:sz="6" w:space="0" w:color="78A22F" w:themeColor="accent1"/>
              <w:left w:val="nil"/>
              <w:bottom w:val="nil"/>
              <w:right w:val="nil"/>
            </w:tcBorders>
          </w:tcPr>
          <w:p w14:paraId="5FC761F1" w14:textId="77777777" w:rsidR="001E523D" w:rsidRPr="00626D32" w:rsidRDefault="001E523D" w:rsidP="00A4323F">
            <w:pPr>
              <w:pStyle w:val="BoxSpaceBelow"/>
            </w:pPr>
          </w:p>
        </w:tc>
      </w:tr>
    </w:tbl>
    <w:p w14:paraId="119B410A" w14:textId="2E4E01A5" w:rsidR="001E523D" w:rsidRPr="00BE5555" w:rsidRDefault="001E523D" w:rsidP="001E523D">
      <w:pPr>
        <w:pStyle w:val="Heading4"/>
      </w:pPr>
      <w:bookmarkStart w:id="28" w:name="_Toc18675365"/>
      <w:bookmarkStart w:id="29" w:name="_Toc27564462"/>
      <w:r>
        <w:t xml:space="preserve">Quality — </w:t>
      </w:r>
      <w:r w:rsidRPr="00BE5555">
        <w:t>Customer satisfaction</w:t>
      </w:r>
      <w:bookmarkEnd w:id="28"/>
      <w:bookmarkEnd w:id="29"/>
    </w:p>
    <w:p w14:paraId="0C1ACFF7" w14:textId="6A2944CB" w:rsidR="001E523D" w:rsidRDefault="001E523D" w:rsidP="001E523D">
      <w:pPr>
        <w:pStyle w:val="BodyText"/>
        <w:rPr>
          <w:szCs w:val="24"/>
        </w:rPr>
      </w:pPr>
      <w:r w:rsidRPr="00462933">
        <w:t xml:space="preserve">‘Customer satisfaction’ is an indicator of governments’ objective to provide </w:t>
      </w:r>
      <w:r>
        <w:rPr>
          <w:szCs w:val="24"/>
        </w:rPr>
        <w:t>services that are high quality</w:t>
      </w:r>
      <w:r w:rsidRPr="00462933">
        <w:rPr>
          <w:szCs w:val="24"/>
        </w:rPr>
        <w:t xml:space="preserve"> (box</w:t>
      </w:r>
      <w:r>
        <w:rPr>
          <w:szCs w:val="24"/>
        </w:rPr>
        <w:t> 18</w:t>
      </w:r>
      <w:r w:rsidRPr="00462933">
        <w:rPr>
          <w:szCs w:val="24"/>
        </w:rPr>
        <w:t>.</w:t>
      </w:r>
      <w:r>
        <w:rPr>
          <w:szCs w:val="24"/>
        </w:rPr>
        <w:t>8</w:t>
      </w:r>
      <w:r w:rsidRPr="00462933">
        <w:rPr>
          <w:szCs w:val="24"/>
        </w:rPr>
        <w:t>).</w:t>
      </w:r>
    </w:p>
    <w:p w14:paraId="5E664B7C" w14:textId="77777777" w:rsidR="006911B2" w:rsidRDefault="006911B2" w:rsidP="006911B2">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911B2" w14:paraId="3B04D376" w14:textId="77777777" w:rsidTr="0053407F">
        <w:tc>
          <w:tcPr>
            <w:tcW w:w="5000" w:type="pct"/>
            <w:tcBorders>
              <w:top w:val="single" w:sz="6" w:space="0" w:color="78A22F"/>
              <w:left w:val="nil"/>
              <w:bottom w:val="nil"/>
              <w:right w:val="nil"/>
            </w:tcBorders>
            <w:shd w:val="clear" w:color="auto" w:fill="F2F2F2" w:themeFill="background1" w:themeFillShade="F2"/>
          </w:tcPr>
          <w:p w14:paraId="156ABDEC" w14:textId="77777777" w:rsidR="006911B2" w:rsidRDefault="006911B2" w:rsidP="0053407F">
            <w:pPr>
              <w:pStyle w:val="BoxTitle"/>
            </w:pPr>
            <w:r>
              <w:rPr>
                <w:b w:val="0"/>
              </w:rPr>
              <w:t>Box 18.</w:t>
            </w:r>
            <w:r>
              <w:rPr>
                <w:b w:val="0"/>
                <w:noProof/>
              </w:rPr>
              <w:t>8</w:t>
            </w:r>
            <w:r>
              <w:tab/>
            </w:r>
            <w:r w:rsidRPr="00153CFD">
              <w:t>Customer satisfaction</w:t>
            </w:r>
          </w:p>
        </w:tc>
      </w:tr>
      <w:tr w:rsidR="006911B2" w14:paraId="12F40B93" w14:textId="77777777" w:rsidTr="0053407F">
        <w:trPr>
          <w:cantSplit/>
        </w:trPr>
        <w:tc>
          <w:tcPr>
            <w:tcW w:w="5000" w:type="pct"/>
            <w:tcBorders>
              <w:top w:val="nil"/>
              <w:left w:val="nil"/>
              <w:bottom w:val="nil"/>
              <w:right w:val="nil"/>
            </w:tcBorders>
            <w:shd w:val="clear" w:color="auto" w:fill="F2F2F2" w:themeFill="background1" w:themeFillShade="F2"/>
          </w:tcPr>
          <w:p w14:paraId="43312FB5" w14:textId="77777777" w:rsidR="006911B2" w:rsidRPr="004F0EC5" w:rsidRDefault="006911B2" w:rsidP="0053407F">
            <w:pPr>
              <w:pStyle w:val="Box"/>
            </w:pPr>
            <w:r w:rsidRPr="004F0EC5">
              <w:t xml:space="preserve">‘Customer satisfaction’ is defined as the proportion of social housing </w:t>
            </w:r>
            <w:r>
              <w:t xml:space="preserve">survey respondents </w:t>
            </w:r>
            <w:r w:rsidRPr="004F0EC5">
              <w:t xml:space="preserve">who </w:t>
            </w:r>
            <w:r w:rsidRPr="00E411E4">
              <w:t xml:space="preserve">indicated </w:t>
            </w:r>
            <w:r w:rsidRPr="004F0EC5">
              <w:t>they were satisfied or very satisfied with the overall service provided by their housing provider.</w:t>
            </w:r>
          </w:p>
          <w:p w14:paraId="0ECE1478" w14:textId="398012E6" w:rsidR="006911B2" w:rsidRPr="00A85F9A" w:rsidRDefault="006911B2" w:rsidP="005268FF">
            <w:pPr>
              <w:pStyle w:val="Box"/>
              <w:rPr>
                <w:rStyle w:val="DraftingNote"/>
                <w:b w:val="0"/>
                <w:color w:val="auto"/>
                <w:sz w:val="20"/>
                <w:u w:val="none"/>
              </w:rPr>
            </w:pPr>
            <w:r w:rsidRPr="004F0EC5">
              <w:t xml:space="preserve">A high or increasing </w:t>
            </w:r>
            <w:r>
              <w:t>level of</w:t>
            </w:r>
            <w:r w:rsidRPr="004F0EC5">
              <w:t xml:space="preserve"> customer satisfaction</w:t>
            </w:r>
            <w:r>
              <w:t xml:space="preserve"> is desirable</w:t>
            </w:r>
            <w:r w:rsidRPr="004F0EC5">
              <w:t>.</w:t>
            </w:r>
          </w:p>
        </w:tc>
      </w:tr>
      <w:tr w:rsidR="005268FF" w:rsidRPr="00ED061E" w14:paraId="251D319A" w14:textId="77777777" w:rsidTr="0053407F">
        <w:tc>
          <w:tcPr>
            <w:tcW w:w="5000" w:type="pct"/>
            <w:tcBorders>
              <w:top w:val="nil"/>
              <w:left w:val="nil"/>
              <w:bottom w:val="nil"/>
              <w:right w:val="nil"/>
            </w:tcBorders>
            <w:shd w:val="clear" w:color="auto" w:fill="F2F2F2"/>
          </w:tcPr>
          <w:p w14:paraId="241718C0" w14:textId="77777777" w:rsidR="005268FF" w:rsidRPr="00ED061E" w:rsidRDefault="005268FF" w:rsidP="0053407F">
            <w:pPr>
              <w:pStyle w:val="BoxSource"/>
              <w:spacing w:after="120" w:line="240" w:lineRule="auto"/>
              <w:jc w:val="right"/>
            </w:pPr>
            <w:r w:rsidRPr="00ED061E">
              <w:t>(continued next page)</w:t>
            </w:r>
          </w:p>
        </w:tc>
      </w:tr>
      <w:tr w:rsidR="006911B2" w14:paraId="6231F240" w14:textId="77777777" w:rsidTr="0053407F">
        <w:trPr>
          <w:cantSplit/>
        </w:trPr>
        <w:tc>
          <w:tcPr>
            <w:tcW w:w="5000" w:type="pct"/>
            <w:tcBorders>
              <w:top w:val="nil"/>
              <w:left w:val="nil"/>
              <w:bottom w:val="single" w:sz="6" w:space="0" w:color="78A22F"/>
              <w:right w:val="nil"/>
            </w:tcBorders>
            <w:shd w:val="clear" w:color="auto" w:fill="F2F2F2" w:themeFill="background1" w:themeFillShade="F2"/>
          </w:tcPr>
          <w:p w14:paraId="376CC0EC" w14:textId="77777777" w:rsidR="006911B2" w:rsidRDefault="006911B2" w:rsidP="0053407F">
            <w:pPr>
              <w:pStyle w:val="Box"/>
              <w:spacing w:before="0" w:line="120" w:lineRule="exact"/>
            </w:pPr>
          </w:p>
        </w:tc>
      </w:tr>
      <w:tr w:rsidR="006911B2" w:rsidRPr="000863A5" w14:paraId="52FD180E" w14:textId="77777777" w:rsidTr="0053407F">
        <w:tc>
          <w:tcPr>
            <w:tcW w:w="5000" w:type="pct"/>
            <w:tcBorders>
              <w:top w:val="single" w:sz="6" w:space="0" w:color="78A22F"/>
              <w:left w:val="nil"/>
              <w:bottom w:val="nil"/>
              <w:right w:val="nil"/>
            </w:tcBorders>
          </w:tcPr>
          <w:p w14:paraId="31277D42" w14:textId="77777777" w:rsidR="006911B2" w:rsidRPr="00626D32" w:rsidRDefault="006911B2" w:rsidP="0053407F">
            <w:pPr>
              <w:pStyle w:val="BoxSpaceBelow"/>
            </w:pPr>
          </w:p>
        </w:tc>
      </w:tr>
    </w:tbl>
    <w:p w14:paraId="7FD881A0" w14:textId="77777777" w:rsidR="006911B2" w:rsidRPr="003A2FF6" w:rsidRDefault="006911B2" w:rsidP="001E523D">
      <w:pPr>
        <w:pStyle w:val="BodyText"/>
      </w:pPr>
    </w:p>
    <w:p w14:paraId="50353E8B" w14:textId="77777777" w:rsidR="001E523D" w:rsidRDefault="001E523D" w:rsidP="001E523D">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E523D" w14:paraId="0133739E" w14:textId="77777777" w:rsidTr="00A4323F">
        <w:tc>
          <w:tcPr>
            <w:tcW w:w="5000" w:type="pct"/>
            <w:tcBorders>
              <w:top w:val="single" w:sz="6" w:space="0" w:color="78A22F"/>
              <w:left w:val="nil"/>
              <w:bottom w:val="nil"/>
              <w:right w:val="nil"/>
            </w:tcBorders>
            <w:shd w:val="clear" w:color="auto" w:fill="F2F2F2" w:themeFill="background1" w:themeFillShade="F2"/>
          </w:tcPr>
          <w:p w14:paraId="25AD3769" w14:textId="04EBD9B5" w:rsidR="001E523D" w:rsidRDefault="001E523D" w:rsidP="00A4323F">
            <w:pPr>
              <w:pStyle w:val="BoxTitle"/>
            </w:pPr>
            <w:r>
              <w:rPr>
                <w:b w:val="0"/>
              </w:rPr>
              <w:t>Box 18.</w:t>
            </w:r>
            <w:r>
              <w:rPr>
                <w:b w:val="0"/>
                <w:noProof/>
              </w:rPr>
              <w:t>8</w:t>
            </w:r>
            <w:r>
              <w:tab/>
            </w:r>
            <w:r w:rsidR="00B219C9">
              <w:rPr>
                <w:b w:val="0"/>
                <w:sz w:val="18"/>
                <w:szCs w:val="18"/>
              </w:rPr>
              <w:t>(c</w:t>
            </w:r>
            <w:r w:rsidR="00B219C9" w:rsidRPr="00ED061E">
              <w:rPr>
                <w:b w:val="0"/>
                <w:sz w:val="18"/>
                <w:szCs w:val="18"/>
              </w:rPr>
              <w:t>ontinued</w:t>
            </w:r>
            <w:r w:rsidR="00B219C9">
              <w:rPr>
                <w:b w:val="0"/>
                <w:sz w:val="18"/>
                <w:szCs w:val="18"/>
              </w:rPr>
              <w:t>)</w:t>
            </w:r>
          </w:p>
        </w:tc>
      </w:tr>
      <w:tr w:rsidR="001E523D" w14:paraId="15123B5F" w14:textId="77777777" w:rsidTr="00A4323F">
        <w:trPr>
          <w:cantSplit/>
        </w:trPr>
        <w:tc>
          <w:tcPr>
            <w:tcW w:w="5000" w:type="pct"/>
            <w:tcBorders>
              <w:top w:val="nil"/>
              <w:left w:val="nil"/>
              <w:bottom w:val="nil"/>
              <w:right w:val="nil"/>
            </w:tcBorders>
            <w:shd w:val="clear" w:color="auto" w:fill="F2F2F2" w:themeFill="background1" w:themeFillShade="F2"/>
          </w:tcPr>
          <w:p w14:paraId="684D2C89" w14:textId="77777777" w:rsidR="001E523D" w:rsidRPr="004F0EC5" w:rsidRDefault="001E523D" w:rsidP="00A4323F">
            <w:pPr>
              <w:pStyle w:val="Box"/>
            </w:pPr>
            <w:r w:rsidRPr="004F0EC5">
              <w:t>Data are reported for public housing, SOMIH and community housing</w:t>
            </w:r>
            <w:r>
              <w:t xml:space="preserve"> (ICH data are not </w:t>
            </w:r>
            <w:r w:rsidRPr="004F0EC5">
              <w:t>available</w:t>
            </w:r>
            <w:r>
              <w:t>) and are:</w:t>
            </w:r>
          </w:p>
          <w:p w14:paraId="73B283EE" w14:textId="77777777" w:rsidR="001E523D" w:rsidRPr="004F0EC5" w:rsidRDefault="001E523D" w:rsidP="00A4323F">
            <w:pPr>
              <w:pStyle w:val="BoxListBullet"/>
              <w:numPr>
                <w:ilvl w:val="0"/>
                <w:numId w:val="0"/>
              </w:numPr>
              <w:ind w:left="284"/>
            </w:pPr>
            <w:r w:rsidRPr="00C66F12">
              <w:rPr>
                <w:shd w:val="clear" w:color="auto" w:fill="F15A25"/>
              </w:rPr>
              <w:t xml:space="preserve">    </w:t>
            </w:r>
            <w:r>
              <w:t xml:space="preserve"> </w:t>
            </w:r>
            <w:r w:rsidRPr="009D6F9C">
              <w:t>comparable (subject to caveats) across public housing, SOMIH and community housing, and across jurisdictions for the current reporting period and over time from 2014</w:t>
            </w:r>
          </w:p>
          <w:p w14:paraId="227C493C" w14:textId="72F58D2B" w:rsidR="001E523D" w:rsidRPr="00A85F9A" w:rsidRDefault="001E523D" w:rsidP="00A4323F">
            <w:pPr>
              <w:pStyle w:val="Box"/>
              <w:ind w:left="284"/>
              <w:rPr>
                <w:rStyle w:val="DraftingNote"/>
                <w:b w:val="0"/>
                <w:color w:val="auto"/>
                <w:sz w:val="20"/>
                <w:u w:val="none"/>
              </w:rPr>
            </w:pPr>
            <w:r w:rsidRPr="00C66F12">
              <w:rPr>
                <w:shd w:val="clear" w:color="auto" w:fill="FCDED3"/>
              </w:rPr>
              <w:t xml:space="preserve">    </w:t>
            </w:r>
            <w:r>
              <w:t xml:space="preserve"> </w:t>
            </w:r>
            <w:r w:rsidRPr="009D6F9C">
              <w:t xml:space="preserve">incomplete for the current reporting period for SOMIH and community housing (all required </w:t>
            </w:r>
            <w:r w:rsidR="00E72A70" w:rsidRPr="009D6F9C">
              <w:t>20</w:t>
            </w:r>
            <w:r w:rsidR="00E72A70">
              <w:t>21</w:t>
            </w:r>
            <w:r w:rsidR="00E72A70" w:rsidRPr="009D6F9C">
              <w:t xml:space="preserve"> </w:t>
            </w:r>
            <w:r w:rsidRPr="009D6F9C">
              <w:t>data not available for the NT)</w:t>
            </w:r>
            <w:r>
              <w:t xml:space="preserve">, </w:t>
            </w:r>
            <w:r w:rsidRPr="00205A1A">
              <w:t>but complete for public housing</w:t>
            </w:r>
            <w:r>
              <w:t xml:space="preserve"> (all required </w:t>
            </w:r>
            <w:r w:rsidR="00E72A70">
              <w:t>2021 </w:t>
            </w:r>
            <w:r w:rsidRPr="00205A1A">
              <w:t>data)</w:t>
            </w:r>
            <w:r>
              <w:t>.</w:t>
            </w:r>
          </w:p>
        </w:tc>
      </w:tr>
      <w:tr w:rsidR="001E523D" w14:paraId="7A20F866" w14:textId="77777777" w:rsidTr="00A4323F">
        <w:trPr>
          <w:cantSplit/>
        </w:trPr>
        <w:tc>
          <w:tcPr>
            <w:tcW w:w="5000" w:type="pct"/>
            <w:tcBorders>
              <w:top w:val="nil"/>
              <w:left w:val="nil"/>
              <w:bottom w:val="single" w:sz="6" w:space="0" w:color="78A22F"/>
              <w:right w:val="nil"/>
            </w:tcBorders>
            <w:shd w:val="clear" w:color="auto" w:fill="F2F2F2" w:themeFill="background1" w:themeFillShade="F2"/>
          </w:tcPr>
          <w:p w14:paraId="777C644E" w14:textId="77777777" w:rsidR="001E523D" w:rsidRDefault="001E523D" w:rsidP="00A4323F">
            <w:pPr>
              <w:pStyle w:val="Box"/>
              <w:spacing w:before="0" w:line="120" w:lineRule="exact"/>
            </w:pPr>
          </w:p>
        </w:tc>
      </w:tr>
      <w:tr w:rsidR="001E523D" w:rsidRPr="000863A5" w14:paraId="6684DCE2" w14:textId="77777777" w:rsidTr="00A4323F">
        <w:tc>
          <w:tcPr>
            <w:tcW w:w="5000" w:type="pct"/>
            <w:tcBorders>
              <w:top w:val="single" w:sz="6" w:space="0" w:color="78A22F"/>
              <w:left w:val="nil"/>
              <w:bottom w:val="nil"/>
              <w:right w:val="nil"/>
            </w:tcBorders>
          </w:tcPr>
          <w:p w14:paraId="5DE648D4" w14:textId="77777777" w:rsidR="001E523D" w:rsidRPr="00626D32" w:rsidRDefault="001E523D" w:rsidP="00A4323F">
            <w:pPr>
              <w:pStyle w:val="BoxSpaceBelow"/>
            </w:pPr>
          </w:p>
        </w:tc>
      </w:tr>
    </w:tbl>
    <w:p w14:paraId="2DE50878" w14:textId="77777777" w:rsidR="001E523D" w:rsidRDefault="001E523D" w:rsidP="001E523D">
      <w:pPr>
        <w:pStyle w:val="Heading4"/>
      </w:pPr>
      <w:bookmarkStart w:id="30" w:name="_Toc18675366"/>
      <w:bookmarkStart w:id="31" w:name="_Toc27564463"/>
      <w:r w:rsidRPr="009C42D8">
        <w:t>Sustainability</w:t>
      </w:r>
      <w:bookmarkEnd w:id="30"/>
      <w:bookmarkEnd w:id="31"/>
    </w:p>
    <w:p w14:paraId="4682B2E8" w14:textId="5A3AF0F8" w:rsidR="001E523D" w:rsidRDefault="001E523D" w:rsidP="001E523D">
      <w:pPr>
        <w:pStyle w:val="BodyText"/>
      </w:pPr>
      <w:r w:rsidRPr="00AE10B8">
        <w:t>‘Sustainability’ is an indicator of government’s objective to provide services that are sustainable</w:t>
      </w:r>
      <w:r>
        <w:t xml:space="preserve"> (box</w:t>
      </w:r>
      <w:r>
        <w:rPr>
          <w:b/>
        </w:rPr>
        <w:t> </w:t>
      </w:r>
      <w:r>
        <w:t>18.9)</w:t>
      </w:r>
      <w:r w:rsidRPr="00AE10B8">
        <w:t>.</w:t>
      </w:r>
    </w:p>
    <w:p w14:paraId="1F163F2B" w14:textId="77777777" w:rsidR="001E523D" w:rsidRDefault="001E523D" w:rsidP="001E52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21D33259" w14:textId="77777777" w:rsidTr="00A4323F">
        <w:trPr>
          <w:tblHeader/>
        </w:trPr>
        <w:tc>
          <w:tcPr>
            <w:tcW w:w="5000" w:type="pct"/>
            <w:tcBorders>
              <w:top w:val="single" w:sz="6" w:space="0" w:color="78A22F"/>
              <w:left w:val="nil"/>
              <w:bottom w:val="nil"/>
              <w:right w:val="nil"/>
            </w:tcBorders>
            <w:shd w:val="clear" w:color="auto" w:fill="F2F2F2"/>
          </w:tcPr>
          <w:p w14:paraId="33821E5A" w14:textId="77777777" w:rsidR="001E523D" w:rsidRDefault="001E523D" w:rsidP="00A4323F">
            <w:pPr>
              <w:pStyle w:val="BoxTitle"/>
            </w:pPr>
            <w:r>
              <w:rPr>
                <w:b w:val="0"/>
              </w:rPr>
              <w:t>Box 18.9</w:t>
            </w:r>
            <w:r>
              <w:tab/>
              <w:t>Sustainability</w:t>
            </w:r>
          </w:p>
        </w:tc>
      </w:tr>
      <w:tr w:rsidR="001E523D" w14:paraId="16F8D6B4" w14:textId="77777777" w:rsidTr="00A4323F">
        <w:tc>
          <w:tcPr>
            <w:tcW w:w="5000" w:type="pct"/>
            <w:tcBorders>
              <w:top w:val="nil"/>
              <w:left w:val="nil"/>
              <w:bottom w:val="nil"/>
              <w:right w:val="nil"/>
            </w:tcBorders>
            <w:shd w:val="clear" w:color="auto" w:fill="F2F2F2"/>
          </w:tcPr>
          <w:p w14:paraId="3E3F3708" w14:textId="77777777" w:rsidR="001E523D" w:rsidRPr="004564E5" w:rsidRDefault="001E523D" w:rsidP="00A4323F">
            <w:pPr>
              <w:pStyle w:val="Box"/>
              <w:rPr>
                <w:shd w:val="clear" w:color="auto" w:fill="FFFF00"/>
              </w:rPr>
            </w:pPr>
            <w:r w:rsidRPr="00D33393">
              <w:t>‘</w:t>
            </w:r>
            <w:r w:rsidRPr="00D51E02">
              <w:t>Sustainability’ is broadly defined as the extent to which current social housing needs are met with reference to the need for future generations to meet their own social housing needs. In its broadest sense, this could consider financial, social and environmental sustainability.</w:t>
            </w:r>
          </w:p>
          <w:p w14:paraId="1A2EF850" w14:textId="77777777" w:rsidR="001E523D" w:rsidRPr="004E45D3" w:rsidRDefault="001E523D" w:rsidP="00A4323F">
            <w:pPr>
              <w:pStyle w:val="Box"/>
              <w:rPr>
                <w:rStyle w:val="DraftingNote"/>
                <w:b w:val="0"/>
                <w:color w:val="auto"/>
                <w:sz w:val="20"/>
                <w:u w:val="none"/>
              </w:rPr>
            </w:pPr>
            <w:r w:rsidRPr="00D51E02">
              <w:t xml:space="preserve">Further development of this indicator concept and potential measure(s) </w:t>
            </w:r>
            <w:r w:rsidRPr="003D09BA">
              <w:t xml:space="preserve">will be considered with reference to </w:t>
            </w:r>
            <w:r w:rsidRPr="003336F0">
              <w:t xml:space="preserve">the policy </w:t>
            </w:r>
            <w:r w:rsidRPr="003D09BA">
              <w:t>environment.</w:t>
            </w:r>
          </w:p>
        </w:tc>
      </w:tr>
      <w:tr w:rsidR="001E523D" w14:paraId="462A1090" w14:textId="77777777" w:rsidTr="00A4323F">
        <w:tc>
          <w:tcPr>
            <w:tcW w:w="5000" w:type="pct"/>
            <w:tcBorders>
              <w:top w:val="nil"/>
              <w:left w:val="nil"/>
              <w:bottom w:val="single" w:sz="6" w:space="0" w:color="78A22F"/>
              <w:right w:val="nil"/>
            </w:tcBorders>
            <w:shd w:val="clear" w:color="auto" w:fill="F2F2F2"/>
          </w:tcPr>
          <w:p w14:paraId="63516F5C" w14:textId="77777777" w:rsidR="001E523D" w:rsidRDefault="001E523D" w:rsidP="00A4323F">
            <w:pPr>
              <w:pStyle w:val="Box"/>
              <w:spacing w:before="0" w:line="120" w:lineRule="exact"/>
            </w:pPr>
          </w:p>
        </w:tc>
      </w:tr>
      <w:tr w:rsidR="001E523D" w:rsidRPr="000863A5" w14:paraId="251E8E1B" w14:textId="77777777" w:rsidTr="00A4323F">
        <w:tc>
          <w:tcPr>
            <w:tcW w:w="5000" w:type="pct"/>
            <w:tcBorders>
              <w:top w:val="single" w:sz="6" w:space="0" w:color="78A22F"/>
              <w:left w:val="nil"/>
              <w:bottom w:val="nil"/>
              <w:right w:val="nil"/>
            </w:tcBorders>
          </w:tcPr>
          <w:p w14:paraId="56CA2C9E" w14:textId="77777777" w:rsidR="001E523D" w:rsidRPr="00626D32" w:rsidRDefault="001E523D" w:rsidP="00A4323F">
            <w:pPr>
              <w:pStyle w:val="BoxSpaceBelow"/>
            </w:pPr>
          </w:p>
        </w:tc>
      </w:tr>
    </w:tbl>
    <w:p w14:paraId="203E5A15" w14:textId="77777777" w:rsidR="001E523D" w:rsidRPr="00457EC9" w:rsidRDefault="001E523D" w:rsidP="001E523D">
      <w:pPr>
        <w:pStyle w:val="Heading3"/>
      </w:pPr>
      <w:bookmarkStart w:id="32" w:name="_Toc18675367"/>
      <w:bookmarkStart w:id="33" w:name="_Toc27564464"/>
      <w:r w:rsidRPr="00457EC9">
        <w:t>Efficiency</w:t>
      </w:r>
      <w:bookmarkEnd w:id="32"/>
      <w:bookmarkEnd w:id="33"/>
    </w:p>
    <w:p w14:paraId="13129AEB" w14:textId="77777777" w:rsidR="001E523D" w:rsidRPr="0041427D" w:rsidRDefault="001E523D" w:rsidP="001E523D">
      <w:pPr>
        <w:pStyle w:val="Heading4"/>
      </w:pPr>
      <w:bookmarkStart w:id="34" w:name="_Toc18675368"/>
      <w:bookmarkStart w:id="35" w:name="_Toc27564465"/>
      <w:r w:rsidRPr="0041427D">
        <w:t>Net recurrent cost per dwelling</w:t>
      </w:r>
      <w:bookmarkEnd w:id="34"/>
      <w:bookmarkEnd w:id="35"/>
    </w:p>
    <w:p w14:paraId="4BCDE131" w14:textId="77777777" w:rsidR="001E523D" w:rsidRDefault="001E523D" w:rsidP="001E523D">
      <w:pPr>
        <w:pStyle w:val="BodyText"/>
      </w:pPr>
      <w:r>
        <w:t>‘Net recurrent cost per dwelling’ is an indicator of governments’ objective to provide services in an efficient manner (box 18.10).</w:t>
      </w:r>
    </w:p>
    <w:p w14:paraId="3C38A567" w14:textId="77777777" w:rsidR="002D3EA3" w:rsidRDefault="002D3EA3" w:rsidP="002D3EA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3EA3" w14:paraId="5CA605D6" w14:textId="77777777" w:rsidTr="0053407F">
        <w:trPr>
          <w:tblHeader/>
        </w:trPr>
        <w:tc>
          <w:tcPr>
            <w:tcW w:w="5000" w:type="pct"/>
            <w:tcBorders>
              <w:top w:val="single" w:sz="6" w:space="0" w:color="78A22F"/>
              <w:left w:val="nil"/>
              <w:bottom w:val="nil"/>
              <w:right w:val="nil"/>
            </w:tcBorders>
            <w:shd w:val="clear" w:color="auto" w:fill="F2F2F2"/>
          </w:tcPr>
          <w:p w14:paraId="642E3B4E" w14:textId="77777777" w:rsidR="002D3EA3" w:rsidRDefault="002D3EA3" w:rsidP="0053407F">
            <w:pPr>
              <w:pStyle w:val="BoxTitle"/>
            </w:pPr>
            <w:r>
              <w:rPr>
                <w:b w:val="0"/>
              </w:rPr>
              <w:t>Box 18.10</w:t>
            </w:r>
            <w:r>
              <w:tab/>
            </w:r>
            <w:r w:rsidRPr="00716EE3">
              <w:t>Net recurrent cost per dwelling</w:t>
            </w:r>
          </w:p>
        </w:tc>
      </w:tr>
      <w:tr w:rsidR="002D3EA3" w14:paraId="66D9F754" w14:textId="77777777" w:rsidTr="0053407F">
        <w:tc>
          <w:tcPr>
            <w:tcW w:w="5000" w:type="pct"/>
            <w:tcBorders>
              <w:top w:val="nil"/>
              <w:left w:val="nil"/>
              <w:bottom w:val="nil"/>
              <w:right w:val="nil"/>
            </w:tcBorders>
            <w:shd w:val="clear" w:color="auto" w:fill="F2F2F2"/>
          </w:tcPr>
          <w:p w14:paraId="683ACF29" w14:textId="77777777" w:rsidR="002D3EA3" w:rsidRPr="00791695" w:rsidRDefault="002D3EA3" w:rsidP="0053407F">
            <w:pPr>
              <w:pStyle w:val="Box"/>
            </w:pPr>
            <w:r w:rsidRPr="00791695">
              <w:t xml:space="preserve">‘Net recurrent cost per dwelling’ is defined as the cost of providing assistance per dwelling and is measured as total </w:t>
            </w:r>
            <w:r w:rsidRPr="005A7DCE">
              <w:t xml:space="preserve">net </w:t>
            </w:r>
            <w:r w:rsidRPr="00791695">
              <w:t>recurrent expenditure divided by the total number of dwellings.</w:t>
            </w:r>
          </w:p>
          <w:p w14:paraId="3EE4B3FE" w14:textId="4057BB7C" w:rsidR="002D3EA3" w:rsidRDefault="002D3EA3" w:rsidP="005268FF">
            <w:pPr>
              <w:pStyle w:val="Box"/>
            </w:pPr>
            <w:r w:rsidRPr="00791695">
              <w:t>Data are reported for public housing, SOMIH, community housing and ICH. Net recurrent cost per dwelling for public housing</w:t>
            </w:r>
            <w:r>
              <w:t xml:space="preserve"> and for SOMIH for 2017</w:t>
            </w:r>
            <w:r>
              <w:noBreakHyphen/>
              <w:t>18</w:t>
            </w:r>
            <w:r w:rsidRPr="00791695">
              <w:t xml:space="preserve"> </w:t>
            </w:r>
            <w:r>
              <w:t xml:space="preserve">and subsequent years </w:t>
            </w:r>
            <w:r w:rsidRPr="00791695">
              <w:t>is reported with user cost of capital both included and excluded. User cost of capital data are not available for SOMIH</w:t>
            </w:r>
            <w:r>
              <w:t xml:space="preserve"> prior to 2017</w:t>
            </w:r>
            <w:r>
              <w:noBreakHyphen/>
              <w:t>18</w:t>
            </w:r>
            <w:r w:rsidRPr="00791695">
              <w:t>,</w:t>
            </w:r>
            <w:r>
              <w:t xml:space="preserve"> nor for</w:t>
            </w:r>
            <w:r w:rsidRPr="00791695">
              <w:t xml:space="preserve"> community housing or ICH. For ICH, total number of dwellings is the number of </w:t>
            </w:r>
            <w:r w:rsidRPr="003715BB">
              <w:t>permanent</w:t>
            </w:r>
            <w:r w:rsidRPr="00791695">
              <w:t xml:space="preserve"> dwellings.</w:t>
            </w:r>
            <w:r>
              <w:t xml:space="preserve"> </w:t>
            </w:r>
          </w:p>
        </w:tc>
      </w:tr>
      <w:tr w:rsidR="00F646DF" w:rsidRPr="00ED061E" w14:paraId="74BC6913" w14:textId="77777777" w:rsidTr="0053407F">
        <w:tc>
          <w:tcPr>
            <w:tcW w:w="5000" w:type="pct"/>
            <w:tcBorders>
              <w:top w:val="nil"/>
              <w:left w:val="nil"/>
              <w:bottom w:val="nil"/>
              <w:right w:val="nil"/>
            </w:tcBorders>
            <w:shd w:val="clear" w:color="auto" w:fill="F2F2F2"/>
          </w:tcPr>
          <w:p w14:paraId="0B4F1A9B" w14:textId="77777777" w:rsidR="00F646DF" w:rsidRPr="00ED061E" w:rsidRDefault="00F646DF" w:rsidP="0053407F">
            <w:pPr>
              <w:pStyle w:val="BoxSource"/>
              <w:spacing w:after="120" w:line="240" w:lineRule="auto"/>
              <w:jc w:val="right"/>
            </w:pPr>
            <w:r w:rsidRPr="00ED061E">
              <w:t>(continued next page)</w:t>
            </w:r>
          </w:p>
        </w:tc>
      </w:tr>
      <w:tr w:rsidR="002D3EA3" w14:paraId="346C9A92" w14:textId="77777777" w:rsidTr="0053407F">
        <w:tc>
          <w:tcPr>
            <w:tcW w:w="5000" w:type="pct"/>
            <w:tcBorders>
              <w:top w:val="nil"/>
              <w:left w:val="nil"/>
              <w:bottom w:val="single" w:sz="6" w:space="0" w:color="78A22F"/>
              <w:right w:val="nil"/>
            </w:tcBorders>
            <w:shd w:val="clear" w:color="auto" w:fill="F2F2F2"/>
          </w:tcPr>
          <w:p w14:paraId="52F24C79" w14:textId="77777777" w:rsidR="002D3EA3" w:rsidRDefault="002D3EA3" w:rsidP="0053407F">
            <w:pPr>
              <w:pStyle w:val="Box"/>
              <w:spacing w:before="0" w:line="120" w:lineRule="exact"/>
            </w:pPr>
          </w:p>
        </w:tc>
      </w:tr>
      <w:tr w:rsidR="002D3EA3" w:rsidRPr="000863A5" w14:paraId="588AA600" w14:textId="77777777" w:rsidTr="0053407F">
        <w:tc>
          <w:tcPr>
            <w:tcW w:w="5000" w:type="pct"/>
            <w:tcBorders>
              <w:top w:val="single" w:sz="6" w:space="0" w:color="78A22F"/>
              <w:left w:val="nil"/>
              <w:bottom w:val="nil"/>
              <w:right w:val="nil"/>
            </w:tcBorders>
          </w:tcPr>
          <w:p w14:paraId="457299FF" w14:textId="77777777" w:rsidR="002D3EA3" w:rsidRPr="00626D32" w:rsidRDefault="002D3EA3" w:rsidP="0053407F">
            <w:pPr>
              <w:pStyle w:val="BoxSpaceBelow"/>
            </w:pPr>
          </w:p>
        </w:tc>
      </w:tr>
    </w:tbl>
    <w:p w14:paraId="61E06389" w14:textId="72E61AC2" w:rsidR="001E523D" w:rsidRDefault="001E523D" w:rsidP="00B149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4C8A0C57" w14:textId="77777777" w:rsidTr="00A4323F">
        <w:trPr>
          <w:tblHeader/>
        </w:trPr>
        <w:tc>
          <w:tcPr>
            <w:tcW w:w="5000" w:type="pct"/>
            <w:tcBorders>
              <w:top w:val="single" w:sz="6" w:space="0" w:color="78A22F"/>
              <w:left w:val="nil"/>
              <w:bottom w:val="nil"/>
              <w:right w:val="nil"/>
            </w:tcBorders>
            <w:shd w:val="clear" w:color="auto" w:fill="F2F2F2"/>
          </w:tcPr>
          <w:p w14:paraId="785769FD" w14:textId="3BCCB918" w:rsidR="001E523D" w:rsidRDefault="001E523D" w:rsidP="00C83EAC">
            <w:pPr>
              <w:pStyle w:val="BoxTitle"/>
            </w:pPr>
            <w:r>
              <w:rPr>
                <w:b w:val="0"/>
              </w:rPr>
              <w:t>Box 18.10</w:t>
            </w:r>
            <w:r>
              <w:tab/>
            </w:r>
            <w:r w:rsidR="00D350F8">
              <w:rPr>
                <w:b w:val="0"/>
                <w:sz w:val="18"/>
                <w:szCs w:val="18"/>
              </w:rPr>
              <w:t>(c</w:t>
            </w:r>
            <w:r w:rsidR="00D350F8" w:rsidRPr="00ED061E">
              <w:rPr>
                <w:b w:val="0"/>
                <w:sz w:val="18"/>
                <w:szCs w:val="18"/>
              </w:rPr>
              <w:t>ontinued</w:t>
            </w:r>
            <w:r w:rsidR="00D350F8">
              <w:rPr>
                <w:b w:val="0"/>
                <w:sz w:val="18"/>
                <w:szCs w:val="18"/>
              </w:rPr>
              <w:t>)</w:t>
            </w:r>
          </w:p>
        </w:tc>
      </w:tr>
      <w:tr w:rsidR="001E523D" w14:paraId="1F1FC075" w14:textId="77777777" w:rsidTr="00A4323F">
        <w:tc>
          <w:tcPr>
            <w:tcW w:w="5000" w:type="pct"/>
            <w:tcBorders>
              <w:top w:val="nil"/>
              <w:left w:val="nil"/>
              <w:bottom w:val="nil"/>
              <w:right w:val="nil"/>
            </w:tcBorders>
            <w:shd w:val="clear" w:color="auto" w:fill="F2F2F2"/>
          </w:tcPr>
          <w:p w14:paraId="641A6B72" w14:textId="77777777" w:rsidR="001E523D" w:rsidRDefault="001E523D" w:rsidP="00A4323F">
            <w:pPr>
              <w:pStyle w:val="Box"/>
            </w:pPr>
            <w:r w:rsidRPr="00791695">
              <w:t xml:space="preserve">An inconsistency between numerator and denominator with a deflationary effect on community housing cost per dwelling may result from transfer of management responsibility for some public housing and/or SOMIH stock to the community sector, which is underway in some jurisdictions and planned to occur progressively over time in most others. The denominator (number of community housing dwellings at 30 June) may include dwellings for which expenditure for only part of the reporting year is counted in the numerator. This inconsistency is not expected to apply for public housing and </w:t>
            </w:r>
            <w:r w:rsidRPr="00AC7569">
              <w:t>SOMIH</w:t>
            </w:r>
            <w:r w:rsidRPr="00791695">
              <w:t xml:space="preserve"> as the denominator (the average of the number of dwellings for each month of the reporting year) largely accounts for transfer of dwellings to the community sector.</w:t>
            </w:r>
          </w:p>
          <w:p w14:paraId="6498D020" w14:textId="77777777" w:rsidR="001E523D" w:rsidRDefault="001E523D" w:rsidP="00A4323F">
            <w:pPr>
              <w:pStyle w:val="Box"/>
            </w:pPr>
            <w:r>
              <w:t>Care needs to be taken in interpreting the cost of delivering social housing. Data are not comparable across jurisdictions as jurisdictions vary in how completely costs are captured and how consistently data are collected, as well as the degree to which costs can be separated between different models of social housing and homelessness services. There is also potential for double counting — for example, some of the user cost of capital may also be included in operating costs.</w:t>
            </w:r>
          </w:p>
          <w:p w14:paraId="5575420D" w14:textId="51359099" w:rsidR="001E523D" w:rsidRDefault="001E523D" w:rsidP="00A4323F">
            <w:pPr>
              <w:pStyle w:val="Box"/>
            </w:pPr>
            <w:r>
              <w:t>The user cost of capital is the cost of the funds tied up in the capital used to provide social housing. User cost of capital is the main driver of cost per dwelling due to the level of capital expenditure on housing. Data should be interpreted with caution due to variation across jurisdictions in the treatment of assets (table</w:t>
            </w:r>
            <w:r w:rsidR="00C47BFD">
              <w:t> </w:t>
            </w:r>
            <w:r>
              <w:t>18</w:t>
            </w:r>
            <w:r w:rsidR="005B0A75">
              <w:t>.4</w:t>
            </w:r>
            <w:r>
              <w:t>) and service delivery models.</w:t>
            </w:r>
          </w:p>
          <w:p w14:paraId="0E73D22E" w14:textId="77777777" w:rsidR="001E523D" w:rsidRDefault="001E523D" w:rsidP="00A4323F">
            <w:pPr>
              <w:pStyle w:val="Box"/>
            </w:pPr>
            <w:r w:rsidRPr="00704BC2">
              <w:t>Holding other factors — such as dwelling condition and tenant support services — equal, a low or decreasing cost per dwelling is desirable.</w:t>
            </w:r>
          </w:p>
          <w:p w14:paraId="0C52DFF1" w14:textId="77777777" w:rsidR="001E523D" w:rsidRDefault="001E523D" w:rsidP="00A4323F">
            <w:pPr>
              <w:pStyle w:val="Box"/>
            </w:pPr>
            <w:r>
              <w:t>Data reported for this indicator are:</w:t>
            </w:r>
          </w:p>
          <w:p w14:paraId="6265E0FD" w14:textId="77777777" w:rsidR="001E523D" w:rsidRDefault="001E523D" w:rsidP="00A4323F">
            <w:pPr>
              <w:pStyle w:val="BoxListBullet"/>
              <w:numPr>
                <w:ilvl w:val="0"/>
                <w:numId w:val="0"/>
              </w:numPr>
              <w:ind w:left="284"/>
            </w:pPr>
            <w:r w:rsidRPr="00C66F12">
              <w:rPr>
                <w:shd w:val="clear" w:color="auto" w:fill="FCDED3"/>
              </w:rPr>
              <w:t xml:space="preserve">    </w:t>
            </w:r>
            <w:r>
              <w:t xml:space="preserve"> </w:t>
            </w:r>
            <w:r w:rsidRPr="00903B4C">
              <w:t xml:space="preserve">not comparable across public housing, SOMIH, community housing and </w:t>
            </w:r>
            <w:r w:rsidRPr="00500015">
              <w:t>ICH and not comparable across jurisdictions, but for some jurisdictions are comparable over time (subject to caveats)</w:t>
            </w:r>
          </w:p>
          <w:p w14:paraId="79752BD7" w14:textId="622361D6" w:rsidR="001E523D" w:rsidRDefault="001E523D" w:rsidP="008E245D">
            <w:pPr>
              <w:pStyle w:val="Box"/>
              <w:ind w:left="284"/>
            </w:pPr>
            <w:r w:rsidRPr="00C66F12">
              <w:rPr>
                <w:shd w:val="clear" w:color="auto" w:fill="FCDED3"/>
              </w:rPr>
              <w:t xml:space="preserve">    </w:t>
            </w:r>
            <w:r>
              <w:t xml:space="preserve"> </w:t>
            </w:r>
            <w:r w:rsidRPr="00BC71A2">
              <w:t xml:space="preserve">incomplete for community housing </w:t>
            </w:r>
            <w:r w:rsidRPr="00500015">
              <w:t>(</w:t>
            </w:r>
            <w:r w:rsidRPr="00F960D2">
              <w:t>201</w:t>
            </w:r>
            <w:r w:rsidR="00944FC0">
              <w:t>9</w:t>
            </w:r>
            <w:r w:rsidRPr="00F960D2">
              <w:noBreakHyphen/>
            </w:r>
            <w:r w:rsidR="00944FC0">
              <w:t>20</w:t>
            </w:r>
            <w:r w:rsidR="00944FC0" w:rsidRPr="00F960D2">
              <w:t xml:space="preserve"> </w:t>
            </w:r>
            <w:r w:rsidRPr="00F960D2">
              <w:t>NT data) and</w:t>
            </w:r>
            <w:r w:rsidRPr="00BC71A2">
              <w:t xml:space="preserve"> ICH </w:t>
            </w:r>
            <w:r w:rsidRPr="003A69C6">
              <w:t>(</w:t>
            </w:r>
            <w:r w:rsidR="00B258D4" w:rsidRPr="003A69C6">
              <w:t>20</w:t>
            </w:r>
            <w:r w:rsidR="008A397D" w:rsidRPr="003A69C6">
              <w:t>20</w:t>
            </w:r>
            <w:r w:rsidR="00B258D4" w:rsidRPr="003A69C6">
              <w:t>-2</w:t>
            </w:r>
            <w:r w:rsidR="008A397D" w:rsidRPr="003A69C6">
              <w:t>1</w:t>
            </w:r>
            <w:r w:rsidR="008E245D" w:rsidRPr="003A69C6">
              <w:t xml:space="preserve"> </w:t>
            </w:r>
            <w:r w:rsidRPr="003A69C6">
              <w:t>SA and NT data)</w:t>
            </w:r>
            <w:r w:rsidRPr="00500015">
              <w:t xml:space="preserve"> </w:t>
            </w:r>
            <w:r w:rsidRPr="00BC71A2">
              <w:t>for the current reporting period</w:t>
            </w:r>
            <w:r>
              <w:t>,</w:t>
            </w:r>
            <w:r w:rsidRPr="00500015">
              <w:t xml:space="preserve"> but are complete for public housing and SOMIH (a</w:t>
            </w:r>
            <w:r>
              <w:t xml:space="preserve">ll required </w:t>
            </w:r>
            <w:r w:rsidR="008B1533">
              <w:t>2020-21</w:t>
            </w:r>
            <w:r w:rsidRPr="00A27F3F">
              <w:t xml:space="preserve"> </w:t>
            </w:r>
            <w:r w:rsidRPr="00500015">
              <w:t>data are available).</w:t>
            </w:r>
          </w:p>
        </w:tc>
      </w:tr>
      <w:tr w:rsidR="001E523D" w14:paraId="14DC83FE" w14:textId="77777777" w:rsidTr="00A4323F">
        <w:tc>
          <w:tcPr>
            <w:tcW w:w="5000" w:type="pct"/>
            <w:tcBorders>
              <w:top w:val="nil"/>
              <w:left w:val="nil"/>
              <w:bottom w:val="single" w:sz="6" w:space="0" w:color="78A22F"/>
              <w:right w:val="nil"/>
            </w:tcBorders>
            <w:shd w:val="clear" w:color="auto" w:fill="F2F2F2"/>
          </w:tcPr>
          <w:p w14:paraId="20270AF8" w14:textId="77777777" w:rsidR="001E523D" w:rsidRDefault="001E523D" w:rsidP="00A4323F">
            <w:pPr>
              <w:pStyle w:val="Box"/>
              <w:spacing w:before="0" w:line="120" w:lineRule="exact"/>
            </w:pPr>
          </w:p>
        </w:tc>
      </w:tr>
      <w:tr w:rsidR="001E523D" w:rsidRPr="000863A5" w14:paraId="734BE80E" w14:textId="77777777" w:rsidTr="00A4323F">
        <w:tc>
          <w:tcPr>
            <w:tcW w:w="5000" w:type="pct"/>
            <w:tcBorders>
              <w:top w:val="single" w:sz="6" w:space="0" w:color="78A22F"/>
              <w:left w:val="nil"/>
              <w:bottom w:val="nil"/>
              <w:right w:val="nil"/>
            </w:tcBorders>
          </w:tcPr>
          <w:p w14:paraId="6AC06E14" w14:textId="009D76F9" w:rsidR="001E523D" w:rsidRPr="00626D32" w:rsidRDefault="001E523D" w:rsidP="00A4323F">
            <w:pPr>
              <w:pStyle w:val="BoxSpaceBelow"/>
            </w:pPr>
          </w:p>
        </w:tc>
      </w:tr>
    </w:tbl>
    <w:p w14:paraId="41DCCD8C" w14:textId="77777777" w:rsidR="001E523D" w:rsidRPr="00880D34" w:rsidRDefault="001E523D" w:rsidP="001E523D">
      <w:pPr>
        <w:pStyle w:val="Heading3"/>
      </w:pPr>
      <w:bookmarkStart w:id="36" w:name="_Toc18675369"/>
      <w:bookmarkStart w:id="37" w:name="_Toc27564466"/>
      <w:r w:rsidRPr="00880D34">
        <w:t>Outcomes</w:t>
      </w:r>
      <w:bookmarkEnd w:id="36"/>
      <w:bookmarkEnd w:id="37"/>
    </w:p>
    <w:p w14:paraId="4EC65B2F" w14:textId="77777777" w:rsidR="001E523D" w:rsidRDefault="001E523D" w:rsidP="001E523D">
      <w:pPr>
        <w:pStyle w:val="BodyText"/>
      </w:pPr>
      <w:r>
        <w:t>Outcomes are the impact of services on the status of an individual or group (see section 1).</w:t>
      </w:r>
    </w:p>
    <w:p w14:paraId="2AA5066C" w14:textId="77777777" w:rsidR="001E523D" w:rsidRDefault="001E523D" w:rsidP="001E523D">
      <w:pPr>
        <w:pStyle w:val="Heading4"/>
      </w:pPr>
      <w:bookmarkStart w:id="38" w:name="_Toc18675370"/>
      <w:bookmarkStart w:id="39" w:name="_Toc27564467"/>
      <w:r w:rsidRPr="008355AE">
        <w:t>Social and economic participation</w:t>
      </w:r>
      <w:bookmarkEnd w:id="38"/>
      <w:bookmarkEnd w:id="39"/>
    </w:p>
    <w:p w14:paraId="17F429BD" w14:textId="77777777" w:rsidR="001E523D" w:rsidRDefault="001E523D" w:rsidP="001E523D">
      <w:pPr>
        <w:pStyle w:val="BodyText"/>
      </w:pPr>
      <w:r w:rsidRPr="008355AE">
        <w:t>‘Social and economic participation’ is an indicator of government’s objective to provide social housing assistance that supports wellbeing and contributes to social and econo</w:t>
      </w:r>
      <w:r>
        <w:t>mic participation (box 18.11</w:t>
      </w:r>
      <w:r w:rsidRPr="008355AE">
        <w:t>).</w:t>
      </w:r>
    </w:p>
    <w:p w14:paraId="3BEE6E0F" w14:textId="77777777" w:rsidR="00EC5307" w:rsidRDefault="00EC5307" w:rsidP="00EC5307">
      <w:pPr>
        <w:pStyle w:val="BoxSpaceAbove"/>
      </w:pPr>
    </w:p>
    <w:p w14:paraId="6DB24D49" w14:textId="33E9D08D" w:rsidR="001E523D" w:rsidRPr="00A373DB" w:rsidRDefault="001E523D" w:rsidP="00A373DB"/>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23D" w14:paraId="3255E960" w14:textId="77777777" w:rsidTr="676085C9">
        <w:trPr>
          <w:tblHeader/>
        </w:trPr>
        <w:tc>
          <w:tcPr>
            <w:tcW w:w="5000" w:type="pct"/>
            <w:tcBorders>
              <w:top w:val="single" w:sz="6" w:space="0" w:color="78A22F" w:themeColor="accent1"/>
              <w:left w:val="nil"/>
              <w:bottom w:val="nil"/>
              <w:right w:val="nil"/>
            </w:tcBorders>
            <w:shd w:val="clear" w:color="auto" w:fill="F2F2F2" w:themeFill="background1" w:themeFillShade="F2"/>
          </w:tcPr>
          <w:p w14:paraId="6C4BC874" w14:textId="77777777" w:rsidR="001E523D" w:rsidRDefault="001E523D" w:rsidP="00A4323F">
            <w:pPr>
              <w:pStyle w:val="BoxTitle"/>
            </w:pPr>
            <w:r>
              <w:rPr>
                <w:b w:val="0"/>
              </w:rPr>
              <w:lastRenderedPageBreak/>
              <w:t>Box 18.</w:t>
            </w:r>
            <w:r>
              <w:rPr>
                <w:b w:val="0"/>
                <w:noProof/>
              </w:rPr>
              <w:t>11</w:t>
            </w:r>
            <w:r>
              <w:tab/>
            </w:r>
            <w:r w:rsidRPr="008355AE">
              <w:t>Social and economic participation</w:t>
            </w:r>
          </w:p>
        </w:tc>
      </w:tr>
      <w:tr w:rsidR="001E523D" w14:paraId="1D4A0103" w14:textId="77777777" w:rsidTr="676085C9">
        <w:tc>
          <w:tcPr>
            <w:tcW w:w="5000" w:type="pct"/>
            <w:tcBorders>
              <w:top w:val="nil"/>
              <w:left w:val="nil"/>
              <w:bottom w:val="nil"/>
              <w:right w:val="nil"/>
            </w:tcBorders>
            <w:shd w:val="clear" w:color="auto" w:fill="F2F2F2" w:themeFill="background1" w:themeFillShade="F2"/>
          </w:tcPr>
          <w:p w14:paraId="24E6DC9F" w14:textId="2A2443AC" w:rsidR="001E523D" w:rsidRDefault="001E523D" w:rsidP="00A4323F">
            <w:pPr>
              <w:pStyle w:val="Box"/>
            </w:pPr>
            <w:r>
              <w:t xml:space="preserve">‘Social and economic participation’ is defined as the proportion of social housing tenants engaged in social and/or </w:t>
            </w:r>
            <w:r w:rsidR="25C0D4F6">
              <w:t>work</w:t>
            </w:r>
            <w:r w:rsidR="00066DD7">
              <w:t>–</w:t>
            </w:r>
            <w:r w:rsidR="25C0D4F6">
              <w:t>related</w:t>
            </w:r>
            <w:r>
              <w:t xml:space="preserve"> activities.</w:t>
            </w:r>
          </w:p>
          <w:p w14:paraId="47AA83F2" w14:textId="77777777" w:rsidR="001E523D" w:rsidRDefault="001E523D" w:rsidP="00A4323F">
            <w:pPr>
              <w:pStyle w:val="Box"/>
            </w:pPr>
            <w:r w:rsidRPr="00B24D33">
              <w:t xml:space="preserve">Living in stable, safe and secure </w:t>
            </w:r>
            <w:r>
              <w:t>housing</w:t>
            </w:r>
            <w:r w:rsidRPr="00B24D33">
              <w:t xml:space="preserve"> is associated with greater capacity to participate in social and economic activity and </w:t>
            </w:r>
            <w:r>
              <w:t>improved household wellbeing.</w:t>
            </w:r>
          </w:p>
          <w:p w14:paraId="7394BFFD" w14:textId="0830B21C" w:rsidR="001E523D" w:rsidRPr="00B24A79" w:rsidRDefault="001E523D" w:rsidP="00A4323F">
            <w:pPr>
              <w:pStyle w:val="Box"/>
            </w:pPr>
            <w:r w:rsidRPr="00B24A79">
              <w:t xml:space="preserve">A high or increasing </w:t>
            </w:r>
            <w:r>
              <w:t>proportion</w:t>
            </w:r>
            <w:r w:rsidRPr="00B24A79">
              <w:t xml:space="preserve"> </w:t>
            </w:r>
            <w:r w:rsidRPr="007C7543">
              <w:t xml:space="preserve">of social housing tenants engaged in social and/or </w:t>
            </w:r>
            <w:r>
              <w:t>work</w:t>
            </w:r>
            <w:r w:rsidR="00066DD7">
              <w:t>–</w:t>
            </w:r>
            <w:r>
              <w:t>related</w:t>
            </w:r>
            <w:r w:rsidRPr="007C7543">
              <w:t xml:space="preserve"> activities </w:t>
            </w:r>
            <w:r w:rsidRPr="00B24A79">
              <w:t>is desirable.</w:t>
            </w:r>
          </w:p>
          <w:p w14:paraId="2C964E63" w14:textId="77777777" w:rsidR="001E523D" w:rsidRDefault="001E523D" w:rsidP="00A4323F">
            <w:pPr>
              <w:pStyle w:val="Box"/>
            </w:pPr>
            <w:r w:rsidRPr="00B24A79">
              <w:t>Data are not yet available for reporting against this indicator.</w:t>
            </w:r>
          </w:p>
        </w:tc>
      </w:tr>
      <w:tr w:rsidR="001E523D" w14:paraId="4453B89D" w14:textId="77777777" w:rsidTr="676085C9">
        <w:tc>
          <w:tcPr>
            <w:tcW w:w="5000" w:type="pct"/>
            <w:tcBorders>
              <w:top w:val="nil"/>
              <w:left w:val="nil"/>
              <w:bottom w:val="single" w:sz="6" w:space="0" w:color="78A22F" w:themeColor="accent1"/>
              <w:right w:val="nil"/>
            </w:tcBorders>
            <w:shd w:val="clear" w:color="auto" w:fill="F2F2F2" w:themeFill="background1" w:themeFillShade="F2"/>
          </w:tcPr>
          <w:p w14:paraId="3B1589C9" w14:textId="77777777" w:rsidR="001E523D" w:rsidRDefault="001E523D" w:rsidP="00A4323F">
            <w:pPr>
              <w:pStyle w:val="Box"/>
              <w:spacing w:before="0" w:line="120" w:lineRule="exact"/>
            </w:pPr>
          </w:p>
        </w:tc>
      </w:tr>
      <w:tr w:rsidR="001E523D" w:rsidRPr="000863A5" w14:paraId="1AA31644" w14:textId="77777777" w:rsidTr="676085C9">
        <w:tc>
          <w:tcPr>
            <w:tcW w:w="5000" w:type="pct"/>
            <w:tcBorders>
              <w:top w:val="single" w:sz="6" w:space="0" w:color="78A22F" w:themeColor="accent1"/>
              <w:left w:val="nil"/>
              <w:bottom w:val="nil"/>
              <w:right w:val="nil"/>
            </w:tcBorders>
          </w:tcPr>
          <w:p w14:paraId="5ADE3BA5" w14:textId="2BF27D81" w:rsidR="001E523D" w:rsidRPr="00626D32" w:rsidRDefault="001E523D" w:rsidP="00A4323F">
            <w:pPr>
              <w:pStyle w:val="BoxSpaceBelow"/>
            </w:pPr>
          </w:p>
        </w:tc>
      </w:tr>
    </w:tbl>
    <w:p w14:paraId="472877FA" w14:textId="1C45DC19" w:rsidR="00F90583" w:rsidRPr="00FD1E41" w:rsidRDefault="00E12DE5" w:rsidP="00F90583">
      <w:pPr>
        <w:pStyle w:val="Heading2"/>
      </w:pPr>
      <w:bookmarkStart w:id="40" w:name="_Toc459884658"/>
      <w:bookmarkStart w:id="41" w:name="_Toc3322833"/>
      <w:bookmarkStart w:id="42" w:name="_Toc27564468"/>
      <w:r>
        <w:t>18</w:t>
      </w:r>
      <w:r w:rsidR="00F90583">
        <w:t>.</w:t>
      </w:r>
      <w:r>
        <w:t>3</w:t>
      </w:r>
      <w:r w:rsidR="00F90583">
        <w:tab/>
      </w:r>
      <w:bookmarkStart w:id="43" w:name="_Toc314211352"/>
      <w:bookmarkStart w:id="44" w:name="_Toc396143035"/>
      <w:r w:rsidR="00F90583" w:rsidRPr="00FD1E41">
        <w:t xml:space="preserve">Definitions </w:t>
      </w:r>
      <w:r w:rsidR="00F90583" w:rsidRPr="00653C7C">
        <w:t>of</w:t>
      </w:r>
      <w:r w:rsidR="00F90583" w:rsidRPr="00FD1E41">
        <w:t xml:space="preserve"> key terms</w:t>
      </w:r>
      <w:bookmarkEnd w:id="40"/>
      <w:bookmarkEnd w:id="41"/>
      <w:bookmarkEnd w:id="42"/>
      <w:bookmarkEnd w:id="43"/>
      <w:bookmarkEnd w:id="44"/>
    </w:p>
    <w:p w14:paraId="768F84B0" w14:textId="77777777" w:rsidR="00F90583" w:rsidRPr="007D1214" w:rsidRDefault="00F90583" w:rsidP="00F90583">
      <w:pPr>
        <w:pStyle w:val="BoxSpaceAbove"/>
      </w:pPr>
    </w:p>
    <w:tbl>
      <w:tblPr>
        <w:tblW w:w="8789" w:type="dxa"/>
        <w:tblInd w:w="-5" w:type="dxa"/>
        <w:tblLayout w:type="fixed"/>
        <w:tblCellMar>
          <w:left w:w="0" w:type="dxa"/>
          <w:right w:w="0" w:type="dxa"/>
        </w:tblCellMar>
        <w:tblLook w:val="00A0" w:firstRow="1" w:lastRow="0" w:firstColumn="1" w:lastColumn="0" w:noHBand="0" w:noVBand="0"/>
      </w:tblPr>
      <w:tblGrid>
        <w:gridCol w:w="2410"/>
        <w:gridCol w:w="6379"/>
      </w:tblGrid>
      <w:tr w:rsidR="00E12DE5" w:rsidRPr="002576C5" w14:paraId="21ABBAFE" w14:textId="77777777" w:rsidTr="676085C9">
        <w:tc>
          <w:tcPr>
            <w:tcW w:w="2410" w:type="dxa"/>
          </w:tcPr>
          <w:p w14:paraId="5C07EEF4" w14:textId="3529E8BF" w:rsidR="00E12DE5" w:rsidRDefault="00E12DE5" w:rsidP="00802326">
            <w:pPr>
              <w:pStyle w:val="TableBodyText"/>
              <w:keepNext w:val="0"/>
              <w:keepLines w:val="0"/>
              <w:spacing w:before="60" w:after="60"/>
              <w:ind w:right="6"/>
              <w:jc w:val="left"/>
              <w:rPr>
                <w:b/>
              </w:rPr>
            </w:pPr>
            <w:r w:rsidRPr="002576C5">
              <w:rPr>
                <w:b/>
              </w:rPr>
              <w:t>Aboriginal and Torres Strait Islander household</w:t>
            </w:r>
          </w:p>
        </w:tc>
        <w:tc>
          <w:tcPr>
            <w:tcW w:w="6379" w:type="dxa"/>
          </w:tcPr>
          <w:p w14:paraId="6F645FB4" w14:textId="1AEDE9D7" w:rsidR="00E12DE5" w:rsidRDefault="00E12DE5" w:rsidP="00802326">
            <w:pPr>
              <w:pStyle w:val="TableBodyText"/>
              <w:keepNext w:val="0"/>
              <w:keepLines w:val="0"/>
              <w:spacing w:before="60" w:after="60"/>
              <w:ind w:right="6"/>
              <w:jc w:val="left"/>
            </w:pPr>
            <w:r w:rsidRPr="002576C5">
              <w:t>A household with one or more members (including children) who identify as Aboriginal and/or Torres Strait Islander.</w:t>
            </w:r>
          </w:p>
        </w:tc>
      </w:tr>
      <w:tr w:rsidR="00E12DE5" w:rsidRPr="002576C5" w14:paraId="6F8154F4" w14:textId="77777777" w:rsidTr="676085C9">
        <w:tc>
          <w:tcPr>
            <w:tcW w:w="2410" w:type="dxa"/>
          </w:tcPr>
          <w:p w14:paraId="02794C71" w14:textId="23D2B8E9" w:rsidR="00E12DE5" w:rsidRDefault="00E12DE5" w:rsidP="00802326">
            <w:pPr>
              <w:pStyle w:val="TableBodyText"/>
              <w:keepNext w:val="0"/>
              <w:keepLines w:val="0"/>
              <w:spacing w:before="60" w:after="60"/>
              <w:ind w:right="6"/>
              <w:jc w:val="left"/>
              <w:rPr>
                <w:b/>
              </w:rPr>
            </w:pPr>
            <w:r w:rsidRPr="002576C5">
              <w:rPr>
                <w:b/>
              </w:rPr>
              <w:t>Administration costs</w:t>
            </w:r>
          </w:p>
        </w:tc>
        <w:tc>
          <w:tcPr>
            <w:tcW w:w="6379" w:type="dxa"/>
          </w:tcPr>
          <w:p w14:paraId="3430936E" w14:textId="77777777" w:rsidR="00E12DE5" w:rsidRPr="002576C5" w:rsidRDefault="00E12DE5" w:rsidP="00802326">
            <w:pPr>
              <w:pStyle w:val="TableBodyText"/>
              <w:keepNext w:val="0"/>
              <w:keepLines w:val="0"/>
              <w:spacing w:before="60" w:after="60"/>
              <w:ind w:right="6"/>
              <w:jc w:val="left"/>
            </w:pPr>
            <w:r w:rsidRPr="002576C5">
              <w:t>Those costs associated with the administration offices of the property manager and tenancy manager. They include the general accounting and personnel function costs relating to:</w:t>
            </w:r>
          </w:p>
          <w:p w14:paraId="4694B0E3" w14:textId="77777777" w:rsidR="00E12DE5" w:rsidRPr="006F2985" w:rsidRDefault="00E12DE5" w:rsidP="006F2985">
            <w:pPr>
              <w:pStyle w:val="TableBullet"/>
            </w:pPr>
            <w:r>
              <w:t>employee expenses (for example, superannuation, compensation, accrued leave and training)</w:t>
            </w:r>
          </w:p>
          <w:p w14:paraId="5152CAB5" w14:textId="77777777" w:rsidR="00E12DE5" w:rsidRPr="006F2985" w:rsidRDefault="00E12DE5" w:rsidP="006F2985">
            <w:pPr>
              <w:pStyle w:val="TableBullet"/>
            </w:pPr>
            <w:r>
              <w:t>supplies and services expenses (including stationery, postage, telephone, office equipment, information systems and vehicle expenses)</w:t>
            </w:r>
          </w:p>
          <w:p w14:paraId="70375E36" w14:textId="77777777" w:rsidR="00E12DE5" w:rsidRPr="006F2985" w:rsidRDefault="00E12DE5" w:rsidP="006F2985">
            <w:pPr>
              <w:pStyle w:val="TableBullet"/>
            </w:pPr>
            <w:r>
              <w:t>rent</w:t>
            </w:r>
          </w:p>
          <w:p w14:paraId="1726435E" w14:textId="77777777" w:rsidR="00E12DE5" w:rsidRPr="006F2985" w:rsidRDefault="00E12DE5" w:rsidP="006F2985">
            <w:pPr>
              <w:pStyle w:val="TableBullet"/>
            </w:pPr>
            <w:r>
              <w:t>grants and subsidies (excluding rental subsidies)</w:t>
            </w:r>
          </w:p>
          <w:p w14:paraId="31F32978" w14:textId="77777777" w:rsidR="00E12DE5" w:rsidRPr="006F2985" w:rsidRDefault="00E12DE5" w:rsidP="006F2985">
            <w:pPr>
              <w:pStyle w:val="TableBullet"/>
            </w:pPr>
            <w:r>
              <w:t>expenditure incurred by other government agencies on behalf of the public housing agency</w:t>
            </w:r>
          </w:p>
          <w:p w14:paraId="556BC92D" w14:textId="588A9C89" w:rsidR="00E12DE5" w:rsidRDefault="00E12DE5" w:rsidP="006F2985">
            <w:pPr>
              <w:pStyle w:val="TableBullet"/>
            </w:pPr>
            <w:r>
              <w:t>contracted public housing management services.</w:t>
            </w:r>
          </w:p>
        </w:tc>
      </w:tr>
      <w:tr w:rsidR="00E12DE5" w:rsidRPr="002576C5" w14:paraId="17BCD55B" w14:textId="77777777" w:rsidTr="676085C9">
        <w:tc>
          <w:tcPr>
            <w:tcW w:w="2410" w:type="dxa"/>
          </w:tcPr>
          <w:p w14:paraId="0FD8F53C" w14:textId="660C8E18" w:rsidR="00E12DE5" w:rsidRDefault="00E12DE5" w:rsidP="00802326">
            <w:pPr>
              <w:pStyle w:val="TableBodyText"/>
              <w:keepNext w:val="0"/>
              <w:keepLines w:val="0"/>
              <w:spacing w:before="60" w:after="60"/>
              <w:ind w:right="6"/>
              <w:jc w:val="left"/>
              <w:rPr>
                <w:b/>
              </w:rPr>
            </w:pPr>
            <w:r w:rsidRPr="002576C5">
              <w:rPr>
                <w:b/>
              </w:rPr>
              <w:t>Assessable income</w:t>
            </w:r>
          </w:p>
        </w:tc>
        <w:tc>
          <w:tcPr>
            <w:tcW w:w="6379" w:type="dxa"/>
          </w:tcPr>
          <w:p w14:paraId="7737FB8D" w14:textId="58A41999" w:rsidR="00E12DE5" w:rsidRDefault="00E12DE5" w:rsidP="00802326">
            <w:pPr>
              <w:pStyle w:val="TableBullet"/>
              <w:keepNext w:val="0"/>
              <w:keepLines w:val="0"/>
              <w:numPr>
                <w:ilvl w:val="0"/>
                <w:numId w:val="0"/>
              </w:numPr>
              <w:spacing w:before="60" w:after="60"/>
              <w:ind w:left="6" w:right="6"/>
              <w:jc w:val="both"/>
            </w:pPr>
            <w:r w:rsidRPr="002576C5">
              <w:t xml:space="preserve">The income used to assess eligibility for housing assistance and to calculate the rental housing rebate that allows a household to pay a rent lower than the market rent. </w:t>
            </w:r>
            <w:r>
              <w:t xml:space="preserve">The components of income that are counted as assessable may vary </w:t>
            </w:r>
            <w:r w:rsidRPr="002576C5">
              <w:t>across jurisdictions.</w:t>
            </w:r>
          </w:p>
        </w:tc>
      </w:tr>
      <w:tr w:rsidR="00E12DE5" w:rsidRPr="002576C5" w14:paraId="1989215E" w14:textId="77777777" w:rsidTr="676085C9">
        <w:tc>
          <w:tcPr>
            <w:tcW w:w="2410" w:type="dxa"/>
          </w:tcPr>
          <w:p w14:paraId="1404A4C8" w14:textId="0AB42B8E" w:rsidR="00E12DE5" w:rsidRDefault="00E12DE5" w:rsidP="00802326">
            <w:pPr>
              <w:pStyle w:val="TableBodyText"/>
              <w:keepNext w:val="0"/>
              <w:keepLines w:val="0"/>
              <w:spacing w:before="60" w:after="60"/>
              <w:ind w:right="6"/>
              <w:jc w:val="left"/>
              <w:rPr>
                <w:b/>
              </w:rPr>
            </w:pPr>
            <w:r w:rsidRPr="002576C5">
              <w:rPr>
                <w:b/>
              </w:rPr>
              <w:t>Canadian National Occupancy Standard (CNOS)</w:t>
            </w:r>
          </w:p>
        </w:tc>
        <w:tc>
          <w:tcPr>
            <w:tcW w:w="6379" w:type="dxa"/>
          </w:tcPr>
          <w:p w14:paraId="2A76D6A7" w14:textId="77777777" w:rsidR="00E12DE5" w:rsidRPr="002576C5" w:rsidRDefault="00E12DE5" w:rsidP="00802326">
            <w:pPr>
              <w:pStyle w:val="TableBodyText"/>
              <w:keepNext w:val="0"/>
              <w:keepLines w:val="0"/>
              <w:spacing w:before="60" w:after="60"/>
              <w:ind w:right="6"/>
              <w:jc w:val="left"/>
            </w:pPr>
            <w:r w:rsidRPr="002576C5">
              <w:t>A standardised measure of housing utilisation and overcrowding. This measure assesses a household</w:t>
            </w:r>
            <w:r>
              <w:t>’</w:t>
            </w:r>
            <w:r w:rsidRPr="002576C5">
              <w:t>s bedroom requirements by specifying that:</w:t>
            </w:r>
          </w:p>
          <w:p w14:paraId="2C1596DE" w14:textId="77777777" w:rsidR="00E12DE5" w:rsidRPr="006F2985" w:rsidRDefault="00E12DE5" w:rsidP="006F2985">
            <w:pPr>
              <w:pStyle w:val="TableBullet"/>
            </w:pPr>
            <w:r>
              <w:t>there should be no more than two people per bedroom</w:t>
            </w:r>
          </w:p>
          <w:p w14:paraId="53498017" w14:textId="038EDCE5" w:rsidR="00E12DE5" w:rsidRPr="006F2985" w:rsidRDefault="00E12DE5" w:rsidP="006F2985">
            <w:pPr>
              <w:pStyle w:val="TableBullet"/>
            </w:pPr>
            <w:r>
              <w:t>a household of one unattached individual may reasonably occupy a bed–sit (i.e. have no bedroom)</w:t>
            </w:r>
          </w:p>
          <w:p w14:paraId="45C3CA19" w14:textId="77777777" w:rsidR="00E12DE5" w:rsidRPr="006F2985" w:rsidRDefault="00E12DE5" w:rsidP="006F2985">
            <w:pPr>
              <w:pStyle w:val="TableBullet"/>
            </w:pPr>
            <w:r>
              <w:t>couples and parents should have a separate bedroom</w:t>
            </w:r>
          </w:p>
          <w:p w14:paraId="032CEF76" w14:textId="77777777" w:rsidR="00E12DE5" w:rsidRPr="006F2985" w:rsidRDefault="00E12DE5" w:rsidP="006F2985">
            <w:pPr>
              <w:pStyle w:val="TableBullet"/>
            </w:pPr>
            <w:r>
              <w:t>children less than five years of age, of different sexes, may reasonably share a bedroom</w:t>
            </w:r>
          </w:p>
          <w:p w14:paraId="6DEB3531" w14:textId="77777777" w:rsidR="00E12DE5" w:rsidRPr="006F2985" w:rsidRDefault="00E12DE5" w:rsidP="006F2985">
            <w:pPr>
              <w:pStyle w:val="TableBullet"/>
            </w:pPr>
            <w:r>
              <w:t>children five years of age or over, of the opposite sex, should not share a bedroom</w:t>
            </w:r>
          </w:p>
          <w:p w14:paraId="516A44D8" w14:textId="77777777" w:rsidR="00E12DE5" w:rsidRPr="006F2985" w:rsidRDefault="00E12DE5" w:rsidP="006F2985">
            <w:pPr>
              <w:pStyle w:val="TableBullet"/>
            </w:pPr>
            <w:r>
              <w:t>children less than 18 years of age and of the same sex may reasonably share a bedroom; and</w:t>
            </w:r>
          </w:p>
          <w:p w14:paraId="3D0AE791" w14:textId="74E002C9" w:rsidR="00E12DE5" w:rsidRDefault="00E12DE5" w:rsidP="006F2985">
            <w:pPr>
              <w:pStyle w:val="TableBullet"/>
            </w:pPr>
            <w:r>
              <w:t>single household members aged 18 years or over should have a separate bedroom.</w:t>
            </w:r>
          </w:p>
        </w:tc>
      </w:tr>
    </w:tbl>
    <w:p w14:paraId="7E0BD8D9" w14:textId="77777777" w:rsidR="00257F29" w:rsidRDefault="00257F29"/>
    <w:p w14:paraId="1711F6F0" w14:textId="77777777" w:rsidR="00257F29" w:rsidRDefault="00257F29"/>
    <w:p w14:paraId="174A8A06" w14:textId="77777777" w:rsidR="0007129C" w:rsidRDefault="0007129C"/>
    <w:tbl>
      <w:tblPr>
        <w:tblW w:w="8789" w:type="dxa"/>
        <w:tblInd w:w="-5" w:type="dxa"/>
        <w:tblLayout w:type="fixed"/>
        <w:tblCellMar>
          <w:left w:w="0" w:type="dxa"/>
          <w:right w:w="0" w:type="dxa"/>
        </w:tblCellMar>
        <w:tblLook w:val="00A0" w:firstRow="1" w:lastRow="0" w:firstColumn="1" w:lastColumn="0" w:noHBand="0" w:noVBand="0"/>
      </w:tblPr>
      <w:tblGrid>
        <w:gridCol w:w="2410"/>
        <w:gridCol w:w="6379"/>
      </w:tblGrid>
      <w:tr w:rsidR="00E12DE5" w:rsidRPr="002576C5" w14:paraId="0DDC9344" w14:textId="77777777" w:rsidTr="676085C9">
        <w:tc>
          <w:tcPr>
            <w:tcW w:w="2410" w:type="dxa"/>
          </w:tcPr>
          <w:p w14:paraId="4FC86282" w14:textId="3CF78B3A" w:rsidR="00E12DE5" w:rsidRDefault="00E12DE5" w:rsidP="00802326">
            <w:pPr>
              <w:pStyle w:val="TableBodyText"/>
              <w:keepNext w:val="0"/>
              <w:keepLines w:val="0"/>
              <w:spacing w:before="60" w:after="60"/>
              <w:ind w:right="6"/>
              <w:jc w:val="left"/>
              <w:rPr>
                <w:b/>
              </w:rPr>
            </w:pPr>
            <w:r w:rsidRPr="002576C5">
              <w:rPr>
                <w:b/>
              </w:rPr>
              <w:lastRenderedPageBreak/>
              <w:t>Comparability</w:t>
            </w:r>
          </w:p>
        </w:tc>
        <w:tc>
          <w:tcPr>
            <w:tcW w:w="6379" w:type="dxa"/>
          </w:tcPr>
          <w:p w14:paraId="6C21985B" w14:textId="51D6BE28" w:rsidR="00E12DE5" w:rsidRDefault="00E12DE5" w:rsidP="00802326">
            <w:pPr>
              <w:pStyle w:val="TableBullet"/>
              <w:keepNext w:val="0"/>
              <w:keepLines w:val="0"/>
              <w:numPr>
                <w:ilvl w:val="0"/>
                <w:numId w:val="0"/>
              </w:numPr>
              <w:spacing w:before="60" w:after="60"/>
              <w:ind w:left="6" w:right="6"/>
              <w:jc w:val="both"/>
            </w:pPr>
            <w:r w:rsidRPr="002576C5">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E12DE5" w:rsidRPr="002576C5" w14:paraId="2DA2E26E" w14:textId="77777777" w:rsidTr="676085C9">
        <w:tc>
          <w:tcPr>
            <w:tcW w:w="2410" w:type="dxa"/>
          </w:tcPr>
          <w:p w14:paraId="75EADF7B" w14:textId="7FA50316" w:rsidR="00E12DE5" w:rsidRDefault="00E12DE5" w:rsidP="00802326">
            <w:pPr>
              <w:pStyle w:val="TableBodyText"/>
              <w:keepNext w:val="0"/>
              <w:keepLines w:val="0"/>
              <w:spacing w:before="60" w:after="60"/>
              <w:ind w:right="6"/>
              <w:jc w:val="left"/>
              <w:rPr>
                <w:b/>
              </w:rPr>
            </w:pPr>
            <w:r w:rsidRPr="002576C5">
              <w:rPr>
                <w:b/>
              </w:rPr>
              <w:t>Completeness</w:t>
            </w:r>
          </w:p>
        </w:tc>
        <w:tc>
          <w:tcPr>
            <w:tcW w:w="6379" w:type="dxa"/>
          </w:tcPr>
          <w:p w14:paraId="005B3006" w14:textId="3649DB13" w:rsidR="00E12DE5" w:rsidRDefault="00E12DE5" w:rsidP="00802326">
            <w:pPr>
              <w:pStyle w:val="TableBullet"/>
              <w:keepNext w:val="0"/>
              <w:keepLines w:val="0"/>
              <w:numPr>
                <w:ilvl w:val="0"/>
                <w:numId w:val="0"/>
              </w:numPr>
              <w:spacing w:before="60" w:after="60"/>
              <w:ind w:left="6" w:right="6"/>
              <w:jc w:val="both"/>
            </w:pPr>
            <w:r w:rsidRPr="002576C5">
              <w:t>Data are considered complete if all required data are available for all jurisdictions that provide the service.</w:t>
            </w:r>
          </w:p>
        </w:tc>
      </w:tr>
      <w:tr w:rsidR="00E12DE5" w:rsidRPr="002576C5" w14:paraId="5ABCE1F3" w14:textId="77777777" w:rsidTr="676085C9">
        <w:tc>
          <w:tcPr>
            <w:tcW w:w="2410" w:type="dxa"/>
          </w:tcPr>
          <w:p w14:paraId="7E05371B" w14:textId="78746D15" w:rsidR="00E12DE5" w:rsidRDefault="00E12DE5" w:rsidP="00802326">
            <w:pPr>
              <w:pStyle w:val="TableBodyText"/>
              <w:keepNext w:val="0"/>
              <w:keepLines w:val="0"/>
              <w:spacing w:before="60" w:after="60"/>
              <w:ind w:right="6"/>
              <w:jc w:val="left"/>
              <w:rPr>
                <w:b/>
              </w:rPr>
            </w:pPr>
            <w:r w:rsidRPr="002576C5">
              <w:rPr>
                <w:b/>
              </w:rPr>
              <w:t xml:space="preserve">Confidence intervals </w:t>
            </w:r>
          </w:p>
        </w:tc>
        <w:tc>
          <w:tcPr>
            <w:tcW w:w="6379" w:type="dxa"/>
          </w:tcPr>
          <w:p w14:paraId="5DA465E7" w14:textId="4A6639E0" w:rsidR="00E12DE5" w:rsidRDefault="00E12DE5" w:rsidP="00802326">
            <w:pPr>
              <w:pStyle w:val="TableBullet"/>
              <w:keepNext w:val="0"/>
              <w:keepLines w:val="0"/>
              <w:numPr>
                <w:ilvl w:val="0"/>
                <w:numId w:val="0"/>
              </w:numPr>
              <w:spacing w:before="60" w:after="60"/>
              <w:ind w:left="6" w:right="6"/>
              <w:jc w:val="both"/>
            </w:pPr>
            <w:r w:rsidRPr="002576C5">
              <w:t>Survey data, for example data from the NSHS, are subject to sampling error because they are based on samples of the total population. Where survey data are shown in charts in this report, error bars are included, showing 95 per cent confidence intervals. There is a 95 per cent chance that the true value of the data item lies within the interval shown by the error bars.</w:t>
            </w:r>
          </w:p>
        </w:tc>
      </w:tr>
      <w:tr w:rsidR="00E12DE5" w:rsidRPr="002576C5" w14:paraId="395755B4" w14:textId="77777777" w:rsidTr="676085C9">
        <w:tc>
          <w:tcPr>
            <w:tcW w:w="2410" w:type="dxa"/>
          </w:tcPr>
          <w:p w14:paraId="4CB6F00A" w14:textId="2589B5D7" w:rsidR="00E12DE5" w:rsidRDefault="00E12DE5" w:rsidP="00802326">
            <w:pPr>
              <w:pStyle w:val="TableBodyText"/>
              <w:keepNext w:val="0"/>
              <w:keepLines w:val="0"/>
              <w:spacing w:before="60" w:after="60"/>
              <w:ind w:right="6"/>
              <w:jc w:val="left"/>
              <w:rPr>
                <w:b/>
              </w:rPr>
            </w:pPr>
            <w:r w:rsidRPr="002576C5">
              <w:rPr>
                <w:b/>
              </w:rPr>
              <w:t>Depreciation costs</w:t>
            </w:r>
          </w:p>
        </w:tc>
        <w:tc>
          <w:tcPr>
            <w:tcW w:w="6379" w:type="dxa"/>
          </w:tcPr>
          <w:p w14:paraId="47CD3F9B" w14:textId="0EA75CAE" w:rsidR="00E12DE5" w:rsidRDefault="00E12DE5" w:rsidP="00802326">
            <w:pPr>
              <w:pStyle w:val="TableBullet"/>
              <w:keepNext w:val="0"/>
              <w:keepLines w:val="0"/>
              <w:numPr>
                <w:ilvl w:val="0"/>
                <w:numId w:val="0"/>
              </w:numPr>
              <w:spacing w:before="60" w:after="60"/>
              <w:ind w:left="6" w:right="6"/>
              <w:jc w:val="both"/>
            </w:pPr>
            <w:r w:rsidRPr="002576C5">
              <w:rPr>
                <w:snapToGrid w:val="0"/>
                <w:lang w:val="en-US"/>
              </w:rPr>
              <w:t>Depreciation calculated on a straight</w:t>
            </w:r>
            <w:r w:rsidR="00872FEB">
              <w:rPr>
                <w:snapToGrid w:val="0"/>
                <w:lang w:val="en-US"/>
              </w:rPr>
              <w:t xml:space="preserve"> </w:t>
            </w:r>
            <w:r w:rsidRPr="002576C5">
              <w:rPr>
                <w:snapToGrid w:val="0"/>
                <w:lang w:val="en-US"/>
              </w:rPr>
              <w:t>line basis at a rate that realistically represents the useful life of the asset (as per the Australian Accounting Standards 13–17).</w:t>
            </w:r>
          </w:p>
        </w:tc>
      </w:tr>
      <w:tr w:rsidR="00E12DE5" w:rsidRPr="002576C5" w14:paraId="6DEB1B2D" w14:textId="77777777" w:rsidTr="676085C9">
        <w:tc>
          <w:tcPr>
            <w:tcW w:w="2410" w:type="dxa"/>
          </w:tcPr>
          <w:p w14:paraId="6E013A3C" w14:textId="2F11D2A5" w:rsidR="00E12DE5" w:rsidRDefault="00E12DE5" w:rsidP="00802326">
            <w:pPr>
              <w:pStyle w:val="TableBodyText"/>
              <w:keepNext w:val="0"/>
              <w:keepLines w:val="0"/>
              <w:spacing w:before="60" w:after="60"/>
              <w:ind w:right="6"/>
              <w:jc w:val="left"/>
              <w:rPr>
                <w:b/>
              </w:rPr>
            </w:pPr>
            <w:r w:rsidRPr="002576C5">
              <w:rPr>
                <w:b/>
                <w:snapToGrid w:val="0"/>
              </w:rPr>
              <w:t>Disability</w:t>
            </w:r>
          </w:p>
        </w:tc>
        <w:tc>
          <w:tcPr>
            <w:tcW w:w="6379" w:type="dxa"/>
          </w:tcPr>
          <w:p w14:paraId="3853FB0F" w14:textId="47AC3364" w:rsidR="00E12DE5" w:rsidRDefault="00E12DE5" w:rsidP="00802326">
            <w:pPr>
              <w:pStyle w:val="TableBullet"/>
              <w:keepNext w:val="0"/>
              <w:keepLines w:val="0"/>
              <w:numPr>
                <w:ilvl w:val="0"/>
                <w:numId w:val="0"/>
              </w:numPr>
              <w:spacing w:before="60" w:after="60"/>
              <w:ind w:left="6" w:right="6"/>
              <w:jc w:val="both"/>
            </w:pPr>
            <w:r w:rsidRPr="002576C5">
              <w:rPr>
                <w:snapToGrid w:val="0"/>
              </w:rPr>
              <w:t>Households with a member with disability are defined as households in which at least one member always or sometimes needs assistance with self</w:t>
            </w:r>
            <w:r w:rsidR="00066DD7">
              <w:rPr>
                <w:snapToGrid w:val="0"/>
              </w:rPr>
              <w:t>–</w:t>
            </w:r>
            <w:r w:rsidRPr="002576C5">
              <w:rPr>
                <w:snapToGrid w:val="0"/>
              </w:rPr>
              <w:t>care activities, body movement activities or communication, and the reason for needing assistance is either ‘</w:t>
            </w:r>
            <w:r w:rsidR="1C5E9FE4" w:rsidRPr="002576C5">
              <w:rPr>
                <w:snapToGrid w:val="0"/>
              </w:rPr>
              <w:t>long</w:t>
            </w:r>
            <w:r w:rsidR="00066DD7">
              <w:rPr>
                <w:snapToGrid w:val="0"/>
              </w:rPr>
              <w:t>–</w:t>
            </w:r>
            <w:r w:rsidR="1C5E9FE4" w:rsidRPr="002576C5">
              <w:rPr>
                <w:snapToGrid w:val="0"/>
              </w:rPr>
              <w:t>term</w:t>
            </w:r>
            <w:r w:rsidRPr="002576C5">
              <w:rPr>
                <w:snapToGrid w:val="0"/>
              </w:rPr>
              <w:t xml:space="preserve"> health condition lasting six months or more’ or ‘disability’.</w:t>
            </w:r>
          </w:p>
        </w:tc>
      </w:tr>
      <w:tr w:rsidR="00E12DE5" w:rsidRPr="002576C5" w14:paraId="2BC6AC8D" w14:textId="77777777" w:rsidTr="676085C9">
        <w:tc>
          <w:tcPr>
            <w:tcW w:w="2410" w:type="dxa"/>
          </w:tcPr>
          <w:p w14:paraId="410E129D" w14:textId="59CAE01A" w:rsidR="00E12DE5" w:rsidRDefault="00E12DE5" w:rsidP="00802326">
            <w:pPr>
              <w:pStyle w:val="TableBodyText"/>
              <w:keepNext w:val="0"/>
              <w:keepLines w:val="0"/>
              <w:spacing w:before="60" w:after="60"/>
              <w:ind w:right="6"/>
              <w:jc w:val="left"/>
              <w:rPr>
                <w:b/>
              </w:rPr>
            </w:pPr>
            <w:r w:rsidRPr="002576C5">
              <w:br w:type="page"/>
            </w:r>
            <w:r w:rsidRPr="002576C5">
              <w:rPr>
                <w:rFonts w:ascii="Times New Roman" w:hAnsi="Times New Roman"/>
              </w:rPr>
              <w:br w:type="page"/>
            </w:r>
            <w:r w:rsidRPr="002576C5">
              <w:rPr>
                <w:b/>
              </w:rPr>
              <w:t>Dwelling</w:t>
            </w:r>
          </w:p>
        </w:tc>
        <w:tc>
          <w:tcPr>
            <w:tcW w:w="6379" w:type="dxa"/>
          </w:tcPr>
          <w:p w14:paraId="6AD60F05" w14:textId="77777777" w:rsidR="00E12DE5" w:rsidRPr="002576C5" w:rsidRDefault="00E12DE5" w:rsidP="00802326">
            <w:pPr>
              <w:pStyle w:val="TableBodyText"/>
              <w:keepNext w:val="0"/>
              <w:keepLines w:val="0"/>
              <w:spacing w:before="60" w:after="60"/>
              <w:ind w:right="6"/>
              <w:jc w:val="left"/>
            </w:pPr>
            <w:r w:rsidRPr="002576C5">
              <w:t>A structure or a discrete space within a structure intended for people to live in or where a person or group of people live. Thus, a structure that people actually live in is a dwelling regardless of its intended purpose, but a vacant structure is a dwelling only if intended for human residence. A dwelling may include one or more rooms that is/are used as an office or workshop, provided the dwelling is in residential use. Dwelling types include:</w:t>
            </w:r>
          </w:p>
          <w:p w14:paraId="310B1712" w14:textId="77777777" w:rsidR="00E12DE5" w:rsidRPr="006F2985" w:rsidRDefault="00E12DE5" w:rsidP="006F2985">
            <w:pPr>
              <w:pStyle w:val="TableBullet"/>
            </w:pPr>
            <w:r>
              <w:t>a separate house</w:t>
            </w:r>
          </w:p>
          <w:p w14:paraId="1180E8E1" w14:textId="77777777" w:rsidR="00E12DE5" w:rsidRPr="006F2985" w:rsidRDefault="00E12DE5" w:rsidP="006F2985">
            <w:pPr>
              <w:pStyle w:val="TableBullet"/>
            </w:pPr>
            <w:r>
              <w:t>a semi–detached, row or terrace house, townhouse, etc.</w:t>
            </w:r>
          </w:p>
          <w:p w14:paraId="1972C354" w14:textId="77777777" w:rsidR="00E12DE5" w:rsidRPr="006F2985" w:rsidRDefault="00E12DE5" w:rsidP="006F2985">
            <w:pPr>
              <w:pStyle w:val="TableBullet"/>
            </w:pPr>
            <w:r>
              <w:t>a flat, unit or apartment; caravan, tent, cabin etc. either in or not in a caravan park; houseboat in marina, etc.</w:t>
            </w:r>
          </w:p>
          <w:p w14:paraId="62BC1AD8" w14:textId="77777777" w:rsidR="00E12DE5" w:rsidRPr="006F2985" w:rsidRDefault="00E12DE5" w:rsidP="006F2985">
            <w:pPr>
              <w:pStyle w:val="TableBullet"/>
            </w:pPr>
            <w:r>
              <w:t>an improvised home, tent, camper</w:t>
            </w:r>
          </w:p>
          <w:p w14:paraId="655ECC8C" w14:textId="77777777" w:rsidR="00E12DE5" w:rsidRPr="006F2985" w:rsidRDefault="00E12DE5" w:rsidP="006F2985">
            <w:pPr>
              <w:pStyle w:val="TableBullet"/>
            </w:pPr>
            <w:r>
              <w:t>a house or flat attached to a shop, office, etc.</w:t>
            </w:r>
          </w:p>
          <w:p w14:paraId="2AF98288" w14:textId="00DA0F46" w:rsidR="00E12DE5" w:rsidRDefault="00E12DE5" w:rsidP="006F2985">
            <w:pPr>
              <w:pStyle w:val="TableBullet"/>
            </w:pPr>
            <w:r>
              <w:t>a boarding/rooming house unit.</w:t>
            </w:r>
          </w:p>
        </w:tc>
      </w:tr>
      <w:tr w:rsidR="00E12DE5" w:rsidRPr="002576C5" w14:paraId="2E27E1C6" w14:textId="77777777" w:rsidTr="676085C9">
        <w:tc>
          <w:tcPr>
            <w:tcW w:w="2410" w:type="dxa"/>
          </w:tcPr>
          <w:p w14:paraId="4354810A" w14:textId="57042F51" w:rsidR="00E12DE5" w:rsidRDefault="00E12DE5" w:rsidP="00802326">
            <w:pPr>
              <w:pStyle w:val="TableBodyText"/>
              <w:keepNext w:val="0"/>
              <w:keepLines w:val="0"/>
              <w:spacing w:before="60" w:after="60"/>
              <w:ind w:right="6"/>
              <w:jc w:val="left"/>
              <w:rPr>
                <w:b/>
              </w:rPr>
            </w:pPr>
            <w:r w:rsidRPr="002576C5">
              <w:rPr>
                <w:b/>
              </w:rPr>
              <w:t>Equivalisation</w:t>
            </w:r>
          </w:p>
        </w:tc>
        <w:tc>
          <w:tcPr>
            <w:tcW w:w="6379" w:type="dxa"/>
          </w:tcPr>
          <w:p w14:paraId="5555E8DC" w14:textId="39318FAA" w:rsidR="00E12DE5" w:rsidRDefault="00E12DE5" w:rsidP="006E3DA8">
            <w:pPr>
              <w:pStyle w:val="TableBullet"/>
              <w:keepNext w:val="0"/>
              <w:keepLines w:val="0"/>
              <w:numPr>
                <w:ilvl w:val="0"/>
                <w:numId w:val="0"/>
              </w:numPr>
              <w:spacing w:before="60" w:after="60"/>
              <w:ind w:left="6" w:right="6"/>
              <w:jc w:val="both"/>
            </w:pPr>
            <w:r w:rsidRPr="009C72EB">
              <w:t xml:space="preserve">See </w:t>
            </w:r>
            <w:r>
              <w:t>low</w:t>
            </w:r>
            <w:r w:rsidR="009A11D1">
              <w:t>–</w:t>
            </w:r>
            <w:r>
              <w:t>income</w:t>
            </w:r>
            <w:r w:rsidRPr="009C72EB">
              <w:t xml:space="preserve"> households entry.</w:t>
            </w:r>
          </w:p>
        </w:tc>
      </w:tr>
      <w:tr w:rsidR="00E12DE5" w:rsidRPr="002576C5" w14:paraId="636CF2C5" w14:textId="77777777" w:rsidTr="676085C9">
        <w:tc>
          <w:tcPr>
            <w:tcW w:w="2410" w:type="dxa"/>
          </w:tcPr>
          <w:p w14:paraId="0E2A8844" w14:textId="32E937EB" w:rsidR="00703D68" w:rsidRPr="00703D68" w:rsidRDefault="00E12DE5" w:rsidP="008776BB">
            <w:pPr>
              <w:pStyle w:val="TableBodyText"/>
              <w:keepNext w:val="0"/>
              <w:keepLines w:val="0"/>
              <w:spacing w:before="60" w:after="60"/>
              <w:ind w:right="6"/>
              <w:jc w:val="left"/>
              <w:rPr>
                <w:b/>
                <w:color w:val="00B050"/>
              </w:rPr>
            </w:pPr>
            <w:r w:rsidRPr="002576C5">
              <w:rPr>
                <w:b/>
              </w:rPr>
              <w:t>Greatest need</w:t>
            </w:r>
          </w:p>
        </w:tc>
        <w:tc>
          <w:tcPr>
            <w:tcW w:w="6379" w:type="dxa"/>
            <w:shd w:val="clear" w:color="auto" w:fill="auto"/>
          </w:tcPr>
          <w:p w14:paraId="3C6C73CF" w14:textId="70E3B968" w:rsidR="00E12DE5" w:rsidRPr="002576C5" w:rsidRDefault="00E12DE5" w:rsidP="00802326">
            <w:pPr>
              <w:pStyle w:val="TableBodyText"/>
              <w:keepNext w:val="0"/>
              <w:keepLines w:val="0"/>
              <w:spacing w:before="60" w:after="60"/>
              <w:ind w:right="6"/>
              <w:jc w:val="left"/>
            </w:pPr>
            <w:r>
              <w:t xml:space="preserve">Applies to </w:t>
            </w:r>
            <w:r w:rsidRPr="002576C5">
              <w:t>households if, at the time of allocation, household members were subject to one or more of the following circumstances:</w:t>
            </w:r>
          </w:p>
          <w:p w14:paraId="27A3A54A" w14:textId="4F57236D" w:rsidR="00E12DE5" w:rsidRPr="006F2985" w:rsidRDefault="00E12DE5" w:rsidP="006F2985">
            <w:pPr>
              <w:pStyle w:val="TableBullet"/>
            </w:pPr>
            <w:r>
              <w:t>they were homeless</w:t>
            </w:r>
            <w:r w:rsidR="51B6291D" w:rsidRPr="676085C9">
              <w:rPr>
                <w:vertAlign w:val="superscript"/>
              </w:rPr>
              <w:t>a</w:t>
            </w:r>
          </w:p>
          <w:p w14:paraId="4C08E099" w14:textId="77777777" w:rsidR="00E12DE5" w:rsidRPr="006F2985" w:rsidRDefault="00E12DE5" w:rsidP="006F2985">
            <w:pPr>
              <w:pStyle w:val="TableBullet"/>
            </w:pPr>
            <w:r>
              <w:t>their life or safety was at risk in their accommodation</w:t>
            </w:r>
          </w:p>
          <w:p w14:paraId="0B9D29D3" w14:textId="77777777" w:rsidR="00E12DE5" w:rsidRPr="006F2985" w:rsidRDefault="00E12DE5" w:rsidP="006F2985">
            <w:pPr>
              <w:pStyle w:val="TableBullet"/>
            </w:pPr>
            <w:r>
              <w:t>their health condition was aggravated by their housing</w:t>
            </w:r>
          </w:p>
          <w:p w14:paraId="275A27C5" w14:textId="77777777" w:rsidR="00E12DE5" w:rsidRPr="006F2985" w:rsidRDefault="00E12DE5" w:rsidP="006F2985">
            <w:pPr>
              <w:pStyle w:val="TableBullet"/>
            </w:pPr>
            <w:r>
              <w:t>their housing was inappropriate to their needs</w:t>
            </w:r>
          </w:p>
          <w:p w14:paraId="48B4792C" w14:textId="77777777" w:rsidR="00E12DE5" w:rsidRPr="006F2985" w:rsidRDefault="00E12DE5" w:rsidP="006F2985">
            <w:pPr>
              <w:pStyle w:val="TableBullet"/>
            </w:pPr>
            <w:r>
              <w:t>they had very high rental housing costs.</w:t>
            </w:r>
          </w:p>
          <w:p w14:paraId="5CF6F460" w14:textId="1CE13F32" w:rsidR="00E12DE5" w:rsidRDefault="00E12DE5" w:rsidP="00802326">
            <w:pPr>
              <w:pStyle w:val="TableBullet"/>
              <w:keepNext w:val="0"/>
              <w:keepLines w:val="0"/>
              <w:numPr>
                <w:ilvl w:val="0"/>
                <w:numId w:val="0"/>
              </w:numPr>
              <w:spacing w:before="60" w:after="60"/>
              <w:ind w:left="6" w:right="6"/>
              <w:jc w:val="both"/>
            </w:pPr>
          </w:p>
          <w:p w14:paraId="1D68951A" w14:textId="77777777" w:rsidR="000F68A7" w:rsidRDefault="000F68A7" w:rsidP="00802326">
            <w:pPr>
              <w:pStyle w:val="TableBullet"/>
              <w:keepNext w:val="0"/>
              <w:keepLines w:val="0"/>
              <w:numPr>
                <w:ilvl w:val="0"/>
                <w:numId w:val="0"/>
              </w:numPr>
              <w:spacing w:before="60" w:after="60"/>
              <w:ind w:left="6" w:right="6"/>
              <w:jc w:val="both"/>
            </w:pPr>
            <w:r w:rsidRPr="000F68A7">
              <w:rPr>
                <w:vertAlign w:val="superscript"/>
              </w:rPr>
              <w:t>a</w:t>
            </w:r>
            <w:r>
              <w:rPr>
                <w:vertAlign w:val="superscript"/>
              </w:rPr>
              <w:t xml:space="preserve"> </w:t>
            </w:r>
            <w:r w:rsidRPr="000F68A7">
              <w:t>A homeless household for the greatest need definition is a household with no housing or a household residing in temporary or emergency accommodation. It includes households who:</w:t>
            </w:r>
          </w:p>
          <w:p w14:paraId="3AC8A4CF" w14:textId="1B53ED1B" w:rsidR="000F68A7" w:rsidRPr="000F68A7" w:rsidRDefault="51B6291D" w:rsidP="000F68A7">
            <w:pPr>
              <w:pStyle w:val="TableBullet"/>
            </w:pPr>
            <w:r>
              <w:t>lived in accommodation provided by a specialist homelessness service agency or some other form of emergency accommodation</w:t>
            </w:r>
          </w:p>
          <w:p w14:paraId="4BC984C0" w14:textId="3886616C" w:rsidR="000F68A7" w:rsidRPr="000F68A7" w:rsidRDefault="51B6291D" w:rsidP="000F68A7">
            <w:pPr>
              <w:pStyle w:val="TableBullet"/>
            </w:pPr>
            <w:r>
              <w:t>were total</w:t>
            </w:r>
            <w:r w:rsidR="6CCB4E73">
              <w:t>ly</w:t>
            </w:r>
            <w:r>
              <w:t xml:space="preserve"> without permanent shelter</w:t>
            </w:r>
          </w:p>
          <w:p w14:paraId="04AEB811" w14:textId="77777777" w:rsidR="000F68A7" w:rsidRPr="000F68A7" w:rsidRDefault="51B6291D" w:rsidP="000F68A7">
            <w:pPr>
              <w:pStyle w:val="TableBullet"/>
            </w:pPr>
            <w:r>
              <w:t>lived in shelter that was unlawful such as those who were forced to squat in derelict buildings</w:t>
            </w:r>
          </w:p>
          <w:p w14:paraId="4ED1E584" w14:textId="6B4CBF98" w:rsidR="000F68A7" w:rsidRDefault="51B6291D" w:rsidP="000F68A7">
            <w:pPr>
              <w:pStyle w:val="TableBullet"/>
            </w:pPr>
            <w:r>
              <w:t>stayed temporarily with friends or relatives in the short term</w:t>
            </w:r>
            <w:r w:rsidR="1C2F4D79">
              <w:t>.</w:t>
            </w:r>
          </w:p>
        </w:tc>
      </w:tr>
    </w:tbl>
    <w:p w14:paraId="219DC4CD" w14:textId="77777777" w:rsidR="0007129C" w:rsidRDefault="0007129C"/>
    <w:p w14:paraId="061E6272" w14:textId="77777777" w:rsidR="0007129C" w:rsidRDefault="0007129C"/>
    <w:tbl>
      <w:tblPr>
        <w:tblW w:w="8789" w:type="dxa"/>
        <w:tblInd w:w="-5" w:type="dxa"/>
        <w:tblLayout w:type="fixed"/>
        <w:tblCellMar>
          <w:left w:w="0" w:type="dxa"/>
          <w:right w:w="0" w:type="dxa"/>
        </w:tblCellMar>
        <w:tblLook w:val="00A0" w:firstRow="1" w:lastRow="0" w:firstColumn="1" w:lastColumn="0" w:noHBand="0" w:noVBand="0"/>
      </w:tblPr>
      <w:tblGrid>
        <w:gridCol w:w="2410"/>
        <w:gridCol w:w="6379"/>
      </w:tblGrid>
      <w:tr w:rsidR="00E12DE5" w:rsidRPr="002576C5" w14:paraId="42F705A3" w14:textId="77777777" w:rsidTr="676085C9">
        <w:tc>
          <w:tcPr>
            <w:tcW w:w="2410" w:type="dxa"/>
          </w:tcPr>
          <w:p w14:paraId="267D86CB" w14:textId="77777777" w:rsidR="00E12DE5" w:rsidRDefault="00E12DE5" w:rsidP="00802326">
            <w:pPr>
              <w:pStyle w:val="TableBodyText"/>
              <w:keepNext w:val="0"/>
              <w:keepLines w:val="0"/>
              <w:spacing w:before="60" w:after="60"/>
              <w:ind w:right="6"/>
              <w:jc w:val="left"/>
              <w:rPr>
                <w:b/>
              </w:rPr>
            </w:pPr>
            <w:r w:rsidRPr="002576C5">
              <w:rPr>
                <w:b/>
              </w:rPr>
              <w:lastRenderedPageBreak/>
              <w:t>Household</w:t>
            </w:r>
          </w:p>
          <w:p w14:paraId="38A8EB6B" w14:textId="77777777" w:rsidR="00E12DE5" w:rsidRDefault="00E12DE5" w:rsidP="00802326">
            <w:pPr>
              <w:pStyle w:val="TableBodyText"/>
              <w:keepNext w:val="0"/>
              <w:keepLines w:val="0"/>
              <w:spacing w:before="60" w:after="60"/>
              <w:ind w:right="6"/>
              <w:jc w:val="left"/>
              <w:rPr>
                <w:b/>
              </w:rPr>
            </w:pPr>
          </w:p>
          <w:p w14:paraId="435C4143" w14:textId="77777777" w:rsidR="00E12DE5" w:rsidRDefault="00E12DE5" w:rsidP="00802326">
            <w:pPr>
              <w:pStyle w:val="TableBodyText"/>
              <w:keepNext w:val="0"/>
              <w:keepLines w:val="0"/>
              <w:spacing w:before="60" w:after="60"/>
              <w:ind w:right="6"/>
              <w:jc w:val="left"/>
              <w:rPr>
                <w:b/>
              </w:rPr>
            </w:pPr>
          </w:p>
          <w:p w14:paraId="45407591" w14:textId="77777777" w:rsidR="00E12DE5" w:rsidRDefault="00E12DE5" w:rsidP="00802326">
            <w:pPr>
              <w:pStyle w:val="TableBodyText"/>
              <w:keepNext w:val="0"/>
              <w:keepLines w:val="0"/>
              <w:spacing w:before="60" w:after="60"/>
              <w:ind w:right="6"/>
              <w:jc w:val="left"/>
              <w:rPr>
                <w:b/>
              </w:rPr>
            </w:pPr>
          </w:p>
          <w:p w14:paraId="54EB076D" w14:textId="77777777" w:rsidR="00E12DE5" w:rsidRDefault="00E12DE5" w:rsidP="00802326">
            <w:pPr>
              <w:pStyle w:val="TableBodyText"/>
              <w:keepNext w:val="0"/>
              <w:keepLines w:val="0"/>
              <w:spacing w:before="60" w:after="60"/>
              <w:ind w:right="6"/>
              <w:jc w:val="left"/>
              <w:rPr>
                <w:b/>
              </w:rPr>
            </w:pPr>
          </w:p>
          <w:p w14:paraId="54D0007A" w14:textId="77777777" w:rsidR="00E12DE5" w:rsidRDefault="00E12DE5" w:rsidP="00802326">
            <w:pPr>
              <w:pStyle w:val="TableBodyText"/>
              <w:keepNext w:val="0"/>
              <w:keepLines w:val="0"/>
              <w:spacing w:before="60" w:after="60"/>
              <w:ind w:right="6"/>
              <w:jc w:val="left"/>
              <w:rPr>
                <w:b/>
              </w:rPr>
            </w:pPr>
          </w:p>
        </w:tc>
        <w:tc>
          <w:tcPr>
            <w:tcW w:w="6379" w:type="dxa"/>
          </w:tcPr>
          <w:p w14:paraId="6E18DDAD" w14:textId="4039EB06" w:rsidR="00E12DE5" w:rsidRPr="002576C5" w:rsidRDefault="00E12DE5" w:rsidP="00802326">
            <w:pPr>
              <w:pStyle w:val="TableBodyText"/>
              <w:keepNext w:val="0"/>
              <w:keepLines w:val="0"/>
              <w:spacing w:before="60" w:after="60"/>
              <w:ind w:right="6"/>
              <w:jc w:val="left"/>
            </w:pPr>
            <w:r w:rsidRPr="002576C5">
              <w:t xml:space="preserve">The grouping of people living in a dwelling. Household composition is based on couple and parent–child relationships. A </w:t>
            </w:r>
            <w:r w:rsidR="6A626B9F" w:rsidRPr="676085C9">
              <w:rPr>
                <w:i/>
                <w:iCs/>
              </w:rPr>
              <w:t>single</w:t>
            </w:r>
            <w:r w:rsidR="009A11D1">
              <w:rPr>
                <w:i/>
                <w:iCs/>
              </w:rPr>
              <w:t>–</w:t>
            </w:r>
            <w:r w:rsidR="6A626B9F" w:rsidRPr="676085C9">
              <w:rPr>
                <w:i/>
                <w:iCs/>
              </w:rPr>
              <w:t>family</w:t>
            </w:r>
            <w:r w:rsidRPr="676085C9">
              <w:rPr>
                <w:i/>
                <w:iCs/>
              </w:rPr>
              <w:t xml:space="preserve"> </w:t>
            </w:r>
            <w:r w:rsidRPr="002576C5">
              <w:t xml:space="preserve">household contains a main tenant only, or a main tenant residing with a partner and/or the main tenant’s children. </w:t>
            </w:r>
            <w:r w:rsidRPr="676085C9">
              <w:rPr>
                <w:i/>
                <w:iCs/>
              </w:rPr>
              <w:t xml:space="preserve">Group households </w:t>
            </w:r>
            <w:r w:rsidRPr="002576C5">
              <w:t xml:space="preserve">consist of 2 or more tenants aged 16 or over who are not in a couple or parent–child relationship. </w:t>
            </w:r>
            <w:r w:rsidRPr="676085C9">
              <w:rPr>
                <w:i/>
                <w:iCs/>
              </w:rPr>
              <w:t xml:space="preserve">Mixed households </w:t>
            </w:r>
            <w:r w:rsidRPr="002576C5">
              <w:t>are households not described by the other two types</w:t>
            </w:r>
            <w:r>
              <w:t xml:space="preserve"> </w:t>
            </w:r>
            <w:r w:rsidRPr="002576C5">
              <w:t>—</w:t>
            </w:r>
            <w:r>
              <w:t xml:space="preserve"> </w:t>
            </w:r>
            <w:r w:rsidRPr="002576C5">
              <w:t xml:space="preserve">for example, multiple </w:t>
            </w:r>
            <w:r>
              <w:t>single</w:t>
            </w:r>
            <w:r w:rsidR="009A11D1">
              <w:t>–</w:t>
            </w:r>
            <w:r>
              <w:t>family</w:t>
            </w:r>
            <w:r w:rsidRPr="002576C5">
              <w:t xml:space="preserve"> households.</w:t>
            </w:r>
          </w:p>
          <w:p w14:paraId="04110D2B" w14:textId="4AFD20FF" w:rsidR="00E12DE5" w:rsidRDefault="00E12DE5" w:rsidP="00802326">
            <w:pPr>
              <w:pStyle w:val="TableBullet"/>
              <w:keepNext w:val="0"/>
              <w:keepLines w:val="0"/>
              <w:numPr>
                <w:ilvl w:val="0"/>
                <w:numId w:val="0"/>
              </w:numPr>
              <w:spacing w:before="60" w:after="60"/>
              <w:ind w:left="6" w:right="6"/>
              <w:jc w:val="both"/>
            </w:pPr>
            <w:r w:rsidRPr="00706AF3">
              <w:t>For the purpose of the community housing collection, the number of tenancy agreements is the proxy for counting the number of households. A tenancy agreement is defined as a formal written agreement between a household (a person or group of people) and a housing provider, specifying details of a tenancy for a particular dwelling.</w:t>
            </w:r>
          </w:p>
        </w:tc>
      </w:tr>
      <w:tr w:rsidR="00E12DE5" w:rsidRPr="002576C5" w14:paraId="33EB439B" w14:textId="77777777" w:rsidTr="676085C9">
        <w:tc>
          <w:tcPr>
            <w:tcW w:w="2410" w:type="dxa"/>
          </w:tcPr>
          <w:p w14:paraId="3FC08266" w14:textId="7B5D18D3" w:rsidR="00E12DE5" w:rsidRDefault="6441B004" w:rsidP="676085C9">
            <w:pPr>
              <w:pStyle w:val="TableBodyText"/>
              <w:keepNext w:val="0"/>
              <w:keepLines w:val="0"/>
              <w:spacing w:before="60" w:after="60"/>
              <w:ind w:right="6"/>
              <w:jc w:val="left"/>
              <w:rPr>
                <w:b/>
                <w:bCs/>
              </w:rPr>
            </w:pPr>
            <w:r w:rsidRPr="676085C9">
              <w:rPr>
                <w:b/>
                <w:bCs/>
              </w:rPr>
              <w:t>Low</w:t>
            </w:r>
            <w:r w:rsidR="009A11D1">
              <w:rPr>
                <w:b/>
                <w:bCs/>
              </w:rPr>
              <w:t>–</w:t>
            </w:r>
            <w:r w:rsidRPr="676085C9">
              <w:rPr>
                <w:b/>
                <w:bCs/>
              </w:rPr>
              <w:t>income</w:t>
            </w:r>
            <w:r w:rsidR="00E12DE5" w:rsidRPr="676085C9">
              <w:rPr>
                <w:b/>
                <w:bCs/>
              </w:rPr>
              <w:t xml:space="preserve"> households</w:t>
            </w:r>
          </w:p>
        </w:tc>
        <w:tc>
          <w:tcPr>
            <w:tcW w:w="6379" w:type="dxa"/>
          </w:tcPr>
          <w:p w14:paraId="6BE7A6E2" w14:textId="6E432D3C" w:rsidR="00E12DE5" w:rsidRPr="00B12A3B" w:rsidRDefault="00E12DE5" w:rsidP="00802326">
            <w:pPr>
              <w:pStyle w:val="TableBodyText"/>
              <w:keepNext w:val="0"/>
              <w:keepLines w:val="0"/>
              <w:spacing w:before="60" w:after="60"/>
              <w:ind w:right="6"/>
              <w:jc w:val="left"/>
            </w:pPr>
            <w:r w:rsidRPr="00B12A3B">
              <w:t>For the purpose of social housing affordability analyses, ‘</w:t>
            </w:r>
            <w:r>
              <w:t>low</w:t>
            </w:r>
            <w:r w:rsidR="009A11D1">
              <w:t>–</w:t>
            </w:r>
            <w:r>
              <w:t>income</w:t>
            </w:r>
            <w:r w:rsidRPr="00B12A3B">
              <w:t xml:space="preserve"> households’ are defined as those in the bottom 40 per cent of equivalised gross household income. (Different definitions of </w:t>
            </w:r>
            <w:r>
              <w:t>low</w:t>
            </w:r>
            <w:r w:rsidR="0053361E">
              <w:t>–</w:t>
            </w:r>
            <w:r>
              <w:t>income</w:t>
            </w:r>
            <w:r w:rsidRPr="00B12A3B">
              <w:t xml:space="preserve"> households are used for different p</w:t>
            </w:r>
            <w:r>
              <w:t>urposes by the ABS and others.)</w:t>
            </w:r>
          </w:p>
          <w:p w14:paraId="30FA1A8C" w14:textId="77777777" w:rsidR="00E12DE5" w:rsidRPr="00B12A3B" w:rsidRDefault="00E12DE5" w:rsidP="00802326">
            <w:pPr>
              <w:pStyle w:val="TableBodyText"/>
              <w:keepNext w:val="0"/>
              <w:keepLines w:val="0"/>
              <w:spacing w:before="60" w:after="60"/>
              <w:ind w:right="6"/>
              <w:jc w:val="both"/>
              <w:rPr>
                <w:u w:val="single"/>
              </w:rPr>
            </w:pPr>
            <w:r>
              <w:rPr>
                <w:u w:val="single"/>
              </w:rPr>
              <w:t>Equivalisation</w:t>
            </w:r>
          </w:p>
          <w:p w14:paraId="05D93CD0" w14:textId="77777777" w:rsidR="00E12DE5" w:rsidRPr="00B12A3B" w:rsidRDefault="00E12DE5" w:rsidP="00802326">
            <w:pPr>
              <w:pStyle w:val="TableBodyText"/>
              <w:keepNext w:val="0"/>
              <w:keepLines w:val="0"/>
              <w:spacing w:before="60" w:after="60"/>
              <w:ind w:right="6"/>
              <w:jc w:val="both"/>
            </w:pPr>
            <w:r w:rsidRPr="00B12A3B">
              <w:t>Increased household size is associated with increased consumption needs, but also with economies of scale. An equivalence scale is used to adjust household incomes to take account of the economies that flow from sharing resources, enabling more meaningful comparisons across different types of households.</w:t>
            </w:r>
          </w:p>
          <w:p w14:paraId="79FEA3C4" w14:textId="7AE7BD54" w:rsidR="00E12DE5" w:rsidRPr="00B12A3B" w:rsidRDefault="00E12DE5" w:rsidP="00802326">
            <w:pPr>
              <w:pStyle w:val="TableBodyText"/>
              <w:keepNext w:val="0"/>
              <w:keepLines w:val="0"/>
              <w:spacing w:before="60" w:after="60"/>
              <w:ind w:right="6"/>
              <w:jc w:val="both"/>
            </w:pPr>
            <w:r w:rsidRPr="00B12A3B">
              <w:t xml:space="preserve">The ABS provides </w:t>
            </w:r>
            <w:r>
              <w:t>low</w:t>
            </w:r>
            <w:r w:rsidR="0053361E">
              <w:t>–</w:t>
            </w:r>
            <w:r>
              <w:t>income</w:t>
            </w:r>
            <w:r w:rsidRPr="00B12A3B">
              <w:t xml:space="preserve"> household equivalised gross income cut</w:t>
            </w:r>
            <w:r w:rsidR="0053361E">
              <w:t>–</w:t>
            </w:r>
            <w:r w:rsidRPr="00B12A3B">
              <w:t>offs</w:t>
            </w:r>
            <w:r>
              <w:t xml:space="preserve"> </w:t>
            </w:r>
            <w:r w:rsidRPr="00B12A3B">
              <w:t>derived from the biennial Su</w:t>
            </w:r>
            <w:r>
              <w:t>rvey of Income and Housing data</w:t>
            </w:r>
            <w:r w:rsidRPr="00B12A3B">
              <w:t xml:space="preserve"> to the AIHW. The AIHW determines the equivalised gross household income for social housing households for affordability analyses.</w:t>
            </w:r>
          </w:p>
          <w:p w14:paraId="448A8ABA" w14:textId="38DD9CDA" w:rsidR="00E12DE5" w:rsidRDefault="00E12DE5" w:rsidP="00802326">
            <w:pPr>
              <w:pStyle w:val="TableBullet"/>
              <w:keepNext w:val="0"/>
              <w:keepLines w:val="0"/>
              <w:numPr>
                <w:ilvl w:val="0"/>
                <w:numId w:val="0"/>
              </w:numPr>
              <w:spacing w:before="60" w:after="60"/>
              <w:ind w:left="6" w:right="6"/>
              <w:jc w:val="both"/>
            </w:pPr>
            <w:r w:rsidRPr="00B12A3B">
              <w:t>Note that equivalised gross household income is not used to determine eligibility for social housing or rental subsidies (see ‘assessable income’).</w:t>
            </w:r>
          </w:p>
        </w:tc>
      </w:tr>
      <w:tr w:rsidR="00E12DE5" w:rsidRPr="002576C5" w14:paraId="5FD6BD78" w14:textId="77777777" w:rsidTr="676085C9">
        <w:tc>
          <w:tcPr>
            <w:tcW w:w="2410" w:type="dxa"/>
          </w:tcPr>
          <w:p w14:paraId="4B7FC6CA" w14:textId="37112212" w:rsidR="00E12DE5" w:rsidRDefault="00E12DE5" w:rsidP="00802326">
            <w:pPr>
              <w:pStyle w:val="TableBodyText"/>
              <w:keepNext w:val="0"/>
              <w:keepLines w:val="0"/>
              <w:spacing w:before="60" w:after="60"/>
              <w:ind w:right="6"/>
              <w:jc w:val="left"/>
              <w:rPr>
                <w:b/>
              </w:rPr>
            </w:pPr>
            <w:r w:rsidRPr="002576C5">
              <w:rPr>
                <w:b/>
              </w:rPr>
              <w:t>Maintenance costs</w:t>
            </w:r>
          </w:p>
        </w:tc>
        <w:tc>
          <w:tcPr>
            <w:tcW w:w="6379" w:type="dxa"/>
          </w:tcPr>
          <w:p w14:paraId="13033CF3" w14:textId="28D71A68" w:rsidR="00E12DE5" w:rsidRDefault="00E12DE5" w:rsidP="00802326">
            <w:pPr>
              <w:pStyle w:val="TableBullet"/>
              <w:keepNext w:val="0"/>
              <w:keepLines w:val="0"/>
              <w:numPr>
                <w:ilvl w:val="0"/>
                <w:numId w:val="0"/>
              </w:numPr>
              <w:spacing w:before="60" w:after="60"/>
              <w:ind w:left="6" w:right="6"/>
              <w:jc w:val="both"/>
            </w:pPr>
            <w:r w:rsidRPr="002576C5">
              <w:t>Costs incurred to maintain the value of the asset or to restore an asset to its original condition. The definition includes day–to–day maintenance reflecting general wear and tear, cyclical maintenance, performed as part of a planned maintenance program and other maintenance, such as repairs as a result of vandalism.</w:t>
            </w:r>
          </w:p>
        </w:tc>
      </w:tr>
      <w:tr w:rsidR="00E12DE5" w:rsidRPr="002576C5" w14:paraId="79E3E0E8" w14:textId="77777777" w:rsidTr="676085C9">
        <w:tc>
          <w:tcPr>
            <w:tcW w:w="2410" w:type="dxa"/>
          </w:tcPr>
          <w:p w14:paraId="360DFE90" w14:textId="2754E10F" w:rsidR="00E12DE5" w:rsidRDefault="00E12DE5" w:rsidP="00802326">
            <w:pPr>
              <w:pStyle w:val="TableBodyText"/>
              <w:keepNext w:val="0"/>
              <w:keepLines w:val="0"/>
              <w:spacing w:before="60" w:after="60"/>
              <w:ind w:right="6"/>
              <w:jc w:val="left"/>
              <w:rPr>
                <w:b/>
              </w:rPr>
            </w:pPr>
            <w:r w:rsidRPr="002576C5">
              <w:rPr>
                <w:b/>
              </w:rPr>
              <w:t>Market rent</w:t>
            </w:r>
          </w:p>
        </w:tc>
        <w:tc>
          <w:tcPr>
            <w:tcW w:w="6379" w:type="dxa"/>
          </w:tcPr>
          <w:p w14:paraId="5BB23C72" w14:textId="5F1CDEFF" w:rsidR="00E12DE5" w:rsidRDefault="00E12DE5" w:rsidP="00802326">
            <w:pPr>
              <w:pStyle w:val="TableBullet"/>
              <w:keepNext w:val="0"/>
              <w:keepLines w:val="0"/>
              <w:numPr>
                <w:ilvl w:val="0"/>
                <w:numId w:val="0"/>
              </w:numPr>
              <w:spacing w:before="60" w:after="60"/>
              <w:ind w:left="6" w:right="6"/>
              <w:jc w:val="both"/>
            </w:pPr>
            <w:r>
              <w:t>R</w:t>
            </w:r>
            <w:r w:rsidRPr="002576C5">
              <w:t>ent that would be collected if the public rental housing properties were available in the private market.</w:t>
            </w:r>
          </w:p>
        </w:tc>
      </w:tr>
      <w:tr w:rsidR="00E12DE5" w:rsidRPr="002576C5" w14:paraId="339E1770" w14:textId="77777777" w:rsidTr="676085C9">
        <w:tc>
          <w:tcPr>
            <w:tcW w:w="2410" w:type="dxa"/>
          </w:tcPr>
          <w:p w14:paraId="5837A730" w14:textId="7E4AD217" w:rsidR="00E12DE5" w:rsidRDefault="00E12DE5" w:rsidP="00802326">
            <w:pPr>
              <w:pStyle w:val="TableBodyText"/>
              <w:keepNext w:val="0"/>
              <w:keepLines w:val="0"/>
              <w:spacing w:before="60" w:after="60"/>
              <w:ind w:right="6"/>
              <w:jc w:val="left"/>
              <w:rPr>
                <w:b/>
              </w:rPr>
            </w:pPr>
            <w:r>
              <w:rPr>
                <w:b/>
              </w:rPr>
              <w:t>Models of community housing</w:t>
            </w:r>
          </w:p>
        </w:tc>
        <w:tc>
          <w:tcPr>
            <w:tcW w:w="6379" w:type="dxa"/>
          </w:tcPr>
          <w:p w14:paraId="76B1E520" w14:textId="57207F97" w:rsidR="00E12DE5" w:rsidRDefault="00E12DE5" w:rsidP="00A25E47">
            <w:pPr>
              <w:pStyle w:val="TableBullet"/>
              <w:keepNext w:val="0"/>
              <w:keepLines w:val="0"/>
              <w:numPr>
                <w:ilvl w:val="0"/>
                <w:numId w:val="0"/>
              </w:numPr>
              <w:spacing w:before="60" w:after="60"/>
              <w:ind w:left="6" w:right="6"/>
              <w:jc w:val="both"/>
            </w:pPr>
            <w:r>
              <w:t>Community housing models vary across jurisdictions in scale, organisational structure and financing arrangements, and the extent to which community organisations or government have management responsibility and ownership of the housing stock. Table </w:t>
            </w:r>
            <w:r w:rsidR="651885B0">
              <w:t>18.5</w:t>
            </w:r>
            <w:r>
              <w:t xml:space="preserve"> lists the </w:t>
            </w:r>
            <w:r w:rsidR="035860F7">
              <w:t>in</w:t>
            </w:r>
            <w:r w:rsidR="0053361E">
              <w:t>–</w:t>
            </w:r>
            <w:r w:rsidR="035860F7">
              <w:t>scope</w:t>
            </w:r>
            <w:r>
              <w:t xml:space="preserve"> community housing programs in each jurisdiction.</w:t>
            </w:r>
          </w:p>
          <w:p w14:paraId="52A85FA6" w14:textId="77777777" w:rsidR="00B34258" w:rsidRDefault="00B34258" w:rsidP="00B34258">
            <w:pPr>
              <w:pStyle w:val="TableBodyText"/>
              <w:spacing w:before="60" w:after="60"/>
              <w:ind w:right="6"/>
              <w:jc w:val="left"/>
            </w:pPr>
            <w:r>
              <w:t>Some models of community housing are:</w:t>
            </w:r>
          </w:p>
          <w:p w14:paraId="206A40F8" w14:textId="77777777" w:rsidR="00B34258" w:rsidRPr="006F2985" w:rsidRDefault="00B34258" w:rsidP="00B34258">
            <w:pPr>
              <w:pStyle w:val="TableBullet"/>
            </w:pPr>
            <w:r w:rsidRPr="676085C9">
              <w:rPr>
                <w:i/>
                <w:iCs/>
              </w:rPr>
              <w:t>housing cooperatives</w:t>
            </w:r>
            <w:r>
              <w:t>, providing tenancy management and maintenance of housing that is owned by government, a central finance company or an individual cooperative</w:t>
            </w:r>
          </w:p>
          <w:p w14:paraId="274B1F85" w14:textId="77777777" w:rsidR="00B34258" w:rsidRPr="006F2985" w:rsidRDefault="00B34258" w:rsidP="00B34258">
            <w:pPr>
              <w:pStyle w:val="TableBullet"/>
            </w:pPr>
            <w:r w:rsidRPr="676085C9">
              <w:rPr>
                <w:i/>
                <w:iCs/>
              </w:rPr>
              <w:t>local government housing associations</w:t>
            </w:r>
            <w:r>
              <w:t>, providing low cost housing within a particular municipality, are closely involved in policy, planning, funding and/or monitoring roles, and can directly manage the housing stock</w:t>
            </w:r>
          </w:p>
          <w:p w14:paraId="0804F85A" w14:textId="77777777" w:rsidR="00B34258" w:rsidRPr="006F2985" w:rsidRDefault="00B34258" w:rsidP="00B34258">
            <w:pPr>
              <w:pStyle w:val="TableBullet"/>
            </w:pPr>
            <w:r w:rsidRPr="676085C9">
              <w:rPr>
                <w:i/>
                <w:iCs/>
              </w:rPr>
              <w:t>regional or local housing associations</w:t>
            </w:r>
            <w:r>
              <w:t>, providing property and tenancy management services, and support services to tenants</w:t>
            </w:r>
          </w:p>
          <w:p w14:paraId="41B84FAA" w14:textId="77777777" w:rsidR="00B34258" w:rsidRPr="006F2985" w:rsidRDefault="00B34258" w:rsidP="00B34258">
            <w:pPr>
              <w:pStyle w:val="TableBullet"/>
            </w:pPr>
            <w:r w:rsidRPr="676085C9">
              <w:rPr>
                <w:i/>
                <w:iCs/>
              </w:rPr>
              <w:t>specialist providers</w:t>
            </w:r>
            <w:r>
              <w:t xml:space="preserve"> are organisations with a specific purpose or function, such as tenancy management, housing development, or for specific target groups (including people with disability)</w:t>
            </w:r>
          </w:p>
          <w:p w14:paraId="56D504B9" w14:textId="77777777" w:rsidR="00B34258" w:rsidRPr="006F2985" w:rsidRDefault="00B34258" w:rsidP="00B34258">
            <w:pPr>
              <w:pStyle w:val="TableBullet"/>
            </w:pPr>
            <w:r w:rsidRPr="676085C9">
              <w:rPr>
                <w:i/>
                <w:iCs/>
              </w:rPr>
              <w:t>broad service delivery</w:t>
            </w:r>
            <w:r>
              <w:t xml:space="preserve"> are organisations that provide housing and other welfare services, such as aged care and disability services</w:t>
            </w:r>
          </w:p>
          <w:p w14:paraId="4523107D" w14:textId="77777777" w:rsidR="00B34258" w:rsidRDefault="00B34258" w:rsidP="00B34258">
            <w:pPr>
              <w:pStyle w:val="TableBullet"/>
            </w:pPr>
            <w:r w:rsidRPr="676085C9">
              <w:rPr>
                <w:i/>
                <w:iCs/>
              </w:rPr>
              <w:t>vertically integrated providers of affordable housing</w:t>
            </w:r>
            <w:r>
              <w:t xml:space="preserve"> are involved in all stages of providing affordable housing, from construction to property and tenancy management</w:t>
            </w:r>
          </w:p>
          <w:p w14:paraId="2C805778" w14:textId="77777777" w:rsidR="00B34258" w:rsidRDefault="00B34258" w:rsidP="00A25E47">
            <w:pPr>
              <w:pStyle w:val="TableBullet"/>
              <w:keepNext w:val="0"/>
              <w:keepLines w:val="0"/>
              <w:numPr>
                <w:ilvl w:val="0"/>
                <w:numId w:val="0"/>
              </w:numPr>
              <w:spacing w:before="60" w:after="60"/>
              <w:ind w:left="6" w:right="6"/>
              <w:jc w:val="both"/>
            </w:pPr>
          </w:p>
          <w:p w14:paraId="518EA008" w14:textId="77777777" w:rsidR="00E75CCC" w:rsidRDefault="00E75CCC" w:rsidP="00E75CCC">
            <w:pPr>
              <w:pStyle w:val="TableBullet"/>
            </w:pPr>
            <w:r w:rsidRPr="676085C9">
              <w:rPr>
                <w:i/>
                <w:iCs/>
              </w:rPr>
              <w:lastRenderedPageBreak/>
              <w:t>community ownership and/or management</w:t>
            </w:r>
            <w:r>
              <w:t>, where housing is owned and/or managed by not–for–profit or community housing associations</w:t>
            </w:r>
          </w:p>
          <w:p w14:paraId="43DACE2D" w14:textId="68D43DB8" w:rsidR="00A02408" w:rsidRDefault="00BE474B" w:rsidP="00257F29">
            <w:pPr>
              <w:pStyle w:val="TableBullet"/>
            </w:pPr>
            <w:r w:rsidRPr="00257F29">
              <w:rPr>
                <w:i/>
                <w:iCs/>
              </w:rPr>
              <w:t>joint ventures and housing partnerships</w:t>
            </w:r>
            <w:r>
              <w:t>, where church and welfare entities, local government, private sector and other organisations provide resources in cooperation with State and Territory governments; or where groups of community housing providers form partnerships to maximise growth opportunities, share resources and/or manage risk</w:t>
            </w:r>
          </w:p>
        </w:tc>
      </w:tr>
      <w:tr w:rsidR="00E12DE5" w:rsidRPr="002576C5" w14:paraId="4C3DCCB2" w14:textId="77777777" w:rsidTr="676085C9">
        <w:tc>
          <w:tcPr>
            <w:tcW w:w="2410" w:type="dxa"/>
          </w:tcPr>
          <w:p w14:paraId="5E3DD09E" w14:textId="77777777" w:rsidR="00E12DE5" w:rsidRDefault="00E12DE5" w:rsidP="00802326">
            <w:pPr>
              <w:pStyle w:val="TableBodyText"/>
              <w:keepNext w:val="0"/>
              <w:keepLines w:val="0"/>
              <w:spacing w:before="60" w:after="60"/>
              <w:ind w:right="6"/>
              <w:jc w:val="left"/>
              <w:rPr>
                <w:b/>
              </w:rPr>
            </w:pPr>
          </w:p>
        </w:tc>
        <w:tc>
          <w:tcPr>
            <w:tcW w:w="6379" w:type="dxa"/>
          </w:tcPr>
          <w:p w14:paraId="5CCC374C" w14:textId="4E4939D2" w:rsidR="00E12DE5" w:rsidRDefault="00E12DE5" w:rsidP="006F2985">
            <w:pPr>
              <w:pStyle w:val="TableBullet"/>
            </w:pPr>
            <w:r w:rsidRPr="676085C9">
              <w:rPr>
                <w:i/>
                <w:iCs/>
              </w:rPr>
              <w:t>equity share rental housing</w:t>
            </w:r>
            <w:r>
              <w:t>, where housing cooperatives wholly own the housing stock and lease it to tenants (who are shareholders in the cooperative and, therefore, have the rights and responsibilities of cooperative management) (Australian, State and Territory governments).</w:t>
            </w:r>
          </w:p>
        </w:tc>
      </w:tr>
      <w:tr w:rsidR="00E12DE5" w:rsidRPr="002576C5" w14:paraId="30B5FE2C" w14:textId="77777777" w:rsidTr="676085C9">
        <w:tc>
          <w:tcPr>
            <w:tcW w:w="2410" w:type="dxa"/>
          </w:tcPr>
          <w:p w14:paraId="38152773" w14:textId="176AADCD" w:rsidR="00E12DE5" w:rsidRDefault="00E12DE5" w:rsidP="00802326">
            <w:pPr>
              <w:pStyle w:val="TableBodyText"/>
              <w:keepNext w:val="0"/>
              <w:keepLines w:val="0"/>
              <w:spacing w:before="60" w:after="60"/>
              <w:ind w:right="6"/>
              <w:jc w:val="left"/>
              <w:rPr>
                <w:b/>
              </w:rPr>
            </w:pPr>
            <w:r w:rsidRPr="002576C5">
              <w:rPr>
                <w:rFonts w:ascii="Times New Roman" w:hAnsi="Times New Roman"/>
              </w:rPr>
              <w:br w:type="page"/>
            </w:r>
            <w:r w:rsidRPr="002576C5">
              <w:rPr>
                <w:b/>
              </w:rPr>
              <w:t>New household</w:t>
            </w:r>
          </w:p>
        </w:tc>
        <w:tc>
          <w:tcPr>
            <w:tcW w:w="6379" w:type="dxa"/>
          </w:tcPr>
          <w:p w14:paraId="38B54561" w14:textId="59CC9AA4" w:rsidR="00E12DE5" w:rsidRDefault="00E12DE5" w:rsidP="00802326">
            <w:pPr>
              <w:pStyle w:val="TableBullet"/>
              <w:keepNext w:val="0"/>
              <w:keepLines w:val="0"/>
              <w:numPr>
                <w:ilvl w:val="0"/>
                <w:numId w:val="0"/>
              </w:numPr>
              <w:spacing w:before="60" w:after="60"/>
              <w:ind w:left="6" w:right="6"/>
              <w:jc w:val="both"/>
            </w:pPr>
            <w:r>
              <w:t>Households that commence receiving assistance during the relevant reporting period (financial year). A new household is recorded if the composition of the household changes i.e. if someone enters or leaves the household.</w:t>
            </w:r>
          </w:p>
        </w:tc>
      </w:tr>
      <w:tr w:rsidR="00E12DE5" w:rsidRPr="002576C5" w14:paraId="105240FF" w14:textId="77777777" w:rsidTr="676085C9">
        <w:tc>
          <w:tcPr>
            <w:tcW w:w="2410" w:type="dxa"/>
          </w:tcPr>
          <w:p w14:paraId="295D98AE" w14:textId="729A453F" w:rsidR="00E12DE5" w:rsidRDefault="00E12DE5" w:rsidP="00802326">
            <w:pPr>
              <w:pStyle w:val="TableBodyText"/>
              <w:keepNext w:val="0"/>
              <w:keepLines w:val="0"/>
              <w:spacing w:before="60" w:after="60"/>
              <w:ind w:right="6"/>
              <w:jc w:val="left"/>
              <w:rPr>
                <w:b/>
              </w:rPr>
            </w:pPr>
            <w:r w:rsidRPr="002576C5">
              <w:rPr>
                <w:rFonts w:ascii="Times New Roman" w:hAnsi="Times New Roman"/>
              </w:rPr>
              <w:br w:type="page"/>
            </w:r>
            <w:r w:rsidRPr="002576C5">
              <w:rPr>
                <w:b/>
              </w:rPr>
              <w:t>Occupancy rate</w:t>
            </w:r>
          </w:p>
        </w:tc>
        <w:tc>
          <w:tcPr>
            <w:tcW w:w="6379" w:type="dxa"/>
          </w:tcPr>
          <w:p w14:paraId="5638E022" w14:textId="1F00CB19" w:rsidR="00E12DE5" w:rsidRDefault="00E12DE5" w:rsidP="00802326">
            <w:pPr>
              <w:pStyle w:val="TableBullet"/>
              <w:keepNext w:val="0"/>
              <w:keepLines w:val="0"/>
              <w:numPr>
                <w:ilvl w:val="0"/>
                <w:numId w:val="0"/>
              </w:numPr>
              <w:spacing w:before="60" w:after="60"/>
              <w:ind w:left="6" w:right="6"/>
              <w:jc w:val="both"/>
            </w:pPr>
            <w:r w:rsidRPr="002576C5">
              <w:t>The number of dwellings occupied as a proportion of total dwellings.</w:t>
            </w:r>
          </w:p>
        </w:tc>
      </w:tr>
      <w:tr w:rsidR="00E12DE5" w:rsidRPr="002576C5" w14:paraId="069232FE" w14:textId="77777777" w:rsidTr="676085C9">
        <w:tc>
          <w:tcPr>
            <w:tcW w:w="2410" w:type="dxa"/>
          </w:tcPr>
          <w:p w14:paraId="36D0E68A" w14:textId="235F6F6F" w:rsidR="00E12DE5" w:rsidRDefault="00E12DE5" w:rsidP="00802326">
            <w:pPr>
              <w:pStyle w:val="TableBodyText"/>
              <w:keepNext w:val="0"/>
              <w:keepLines w:val="0"/>
              <w:spacing w:before="60" w:after="60"/>
              <w:ind w:right="6"/>
              <w:jc w:val="left"/>
              <w:rPr>
                <w:b/>
              </w:rPr>
            </w:pPr>
            <w:r w:rsidRPr="002576C5">
              <w:rPr>
                <w:b/>
              </w:rPr>
              <w:t>Occupied dwelling</w:t>
            </w:r>
          </w:p>
        </w:tc>
        <w:tc>
          <w:tcPr>
            <w:tcW w:w="6379" w:type="dxa"/>
          </w:tcPr>
          <w:p w14:paraId="69C97C44" w14:textId="7C7C42B7" w:rsidR="00E12DE5" w:rsidRDefault="00E12DE5" w:rsidP="00802326">
            <w:pPr>
              <w:pStyle w:val="TableBullet"/>
              <w:keepNext w:val="0"/>
              <w:keepLines w:val="0"/>
              <w:numPr>
                <w:ilvl w:val="0"/>
                <w:numId w:val="0"/>
              </w:numPr>
              <w:spacing w:before="60" w:after="60"/>
              <w:ind w:left="6" w:right="6"/>
              <w:jc w:val="both"/>
            </w:pPr>
            <w:r w:rsidRPr="002576C5">
              <w:t>Dwellings occupied by tenants who have a tenancy agreement with the relevant housing authority.</w:t>
            </w:r>
          </w:p>
        </w:tc>
      </w:tr>
      <w:tr w:rsidR="00E12DE5" w:rsidRPr="002576C5" w14:paraId="2C81CFDD" w14:textId="77777777" w:rsidTr="676085C9">
        <w:tc>
          <w:tcPr>
            <w:tcW w:w="2410" w:type="dxa"/>
          </w:tcPr>
          <w:p w14:paraId="4D230FCD" w14:textId="1F42BE62" w:rsidR="00E12DE5" w:rsidRDefault="00E12DE5" w:rsidP="00802326">
            <w:pPr>
              <w:pStyle w:val="TableBodyText"/>
              <w:keepNext w:val="0"/>
              <w:keepLines w:val="0"/>
              <w:spacing w:before="60" w:after="60"/>
              <w:ind w:right="6"/>
              <w:jc w:val="left"/>
              <w:rPr>
                <w:b/>
              </w:rPr>
            </w:pPr>
            <w:r w:rsidRPr="002576C5">
              <w:br w:type="page"/>
            </w:r>
            <w:r w:rsidRPr="002576C5">
              <w:rPr>
                <w:b/>
              </w:rPr>
              <w:t>Overcrowding</w:t>
            </w:r>
          </w:p>
        </w:tc>
        <w:tc>
          <w:tcPr>
            <w:tcW w:w="6379" w:type="dxa"/>
          </w:tcPr>
          <w:p w14:paraId="3369D0C5" w14:textId="46184F01" w:rsidR="00E12DE5" w:rsidRDefault="00E12DE5" w:rsidP="00802326">
            <w:pPr>
              <w:pStyle w:val="TableBullet"/>
              <w:keepNext w:val="0"/>
              <w:keepLines w:val="0"/>
              <w:numPr>
                <w:ilvl w:val="0"/>
                <w:numId w:val="0"/>
              </w:numPr>
              <w:spacing w:before="60" w:after="60"/>
              <w:ind w:left="6" w:right="6"/>
              <w:jc w:val="both"/>
            </w:pPr>
            <w:r w:rsidRPr="002576C5">
              <w:rPr>
                <w:rFonts w:cs="Arial"/>
              </w:rPr>
              <w:t>A situation in a dwelling when one or more additional bedrooms are required to meet the Canadian National Occupancy Standard.</w:t>
            </w:r>
          </w:p>
        </w:tc>
      </w:tr>
      <w:tr w:rsidR="00E12DE5" w:rsidRPr="002576C5" w14:paraId="480FFE6A" w14:textId="77777777" w:rsidTr="676085C9">
        <w:tc>
          <w:tcPr>
            <w:tcW w:w="2410" w:type="dxa"/>
          </w:tcPr>
          <w:p w14:paraId="1BA08BB2" w14:textId="18F48F58" w:rsidR="00E12DE5" w:rsidRDefault="00E12DE5" w:rsidP="00802326">
            <w:pPr>
              <w:pStyle w:val="TableBodyText"/>
              <w:keepNext w:val="0"/>
              <w:keepLines w:val="0"/>
              <w:spacing w:before="60" w:after="60"/>
              <w:ind w:right="6"/>
              <w:jc w:val="left"/>
              <w:rPr>
                <w:b/>
              </w:rPr>
            </w:pPr>
            <w:r w:rsidRPr="002576C5">
              <w:rPr>
                <w:b/>
              </w:rPr>
              <w:t>Principal tenant</w:t>
            </w:r>
          </w:p>
        </w:tc>
        <w:tc>
          <w:tcPr>
            <w:tcW w:w="6379" w:type="dxa"/>
          </w:tcPr>
          <w:p w14:paraId="3446DB79" w14:textId="4B7589B2" w:rsidR="00E12DE5" w:rsidRDefault="00E12DE5" w:rsidP="00802326">
            <w:pPr>
              <w:pStyle w:val="TableBullet"/>
              <w:keepNext w:val="0"/>
              <w:keepLines w:val="0"/>
              <w:numPr>
                <w:ilvl w:val="0"/>
                <w:numId w:val="0"/>
              </w:numPr>
              <w:spacing w:before="60" w:after="60"/>
              <w:ind w:left="6" w:right="6"/>
              <w:jc w:val="both"/>
            </w:pPr>
            <w:r w:rsidRPr="002576C5">
              <w:t>The person whose name appears on the tenancy agreement. Where this is not clear, it should be the person who is responsible for rental payments.</w:t>
            </w:r>
          </w:p>
        </w:tc>
      </w:tr>
      <w:tr w:rsidR="00E12DE5" w:rsidRPr="002576C5" w14:paraId="5E37051C" w14:textId="77777777" w:rsidTr="676085C9">
        <w:tc>
          <w:tcPr>
            <w:tcW w:w="2410" w:type="dxa"/>
          </w:tcPr>
          <w:p w14:paraId="3F969F5E" w14:textId="792BE9FF" w:rsidR="00E12DE5" w:rsidRDefault="00E12DE5" w:rsidP="00802326">
            <w:pPr>
              <w:pStyle w:val="TableBodyText"/>
              <w:keepNext w:val="0"/>
              <w:keepLines w:val="0"/>
              <w:spacing w:before="60" w:after="60"/>
              <w:ind w:right="6"/>
              <w:jc w:val="left"/>
              <w:rPr>
                <w:b/>
              </w:rPr>
            </w:pPr>
            <w:r w:rsidRPr="002576C5">
              <w:rPr>
                <w:b/>
              </w:rPr>
              <w:t>Rebated household</w:t>
            </w:r>
          </w:p>
        </w:tc>
        <w:tc>
          <w:tcPr>
            <w:tcW w:w="6379" w:type="dxa"/>
          </w:tcPr>
          <w:p w14:paraId="4BFA4892" w14:textId="77305ED5" w:rsidR="00E12DE5" w:rsidRDefault="00E12DE5" w:rsidP="00802326">
            <w:pPr>
              <w:pStyle w:val="TableBullet"/>
              <w:keepNext w:val="0"/>
              <w:keepLines w:val="0"/>
              <w:numPr>
                <w:ilvl w:val="0"/>
                <w:numId w:val="0"/>
              </w:numPr>
              <w:spacing w:before="60" w:after="60"/>
              <w:ind w:left="6" w:right="6"/>
              <w:jc w:val="both"/>
            </w:pPr>
            <w:r w:rsidRPr="002576C5">
              <w:t>A household that receives housing assistance and pays less than the market rent value for the dwelling.</w:t>
            </w:r>
          </w:p>
        </w:tc>
      </w:tr>
      <w:tr w:rsidR="00E12DE5" w:rsidRPr="002576C5" w14:paraId="684CBFC0" w14:textId="77777777" w:rsidTr="676085C9">
        <w:tc>
          <w:tcPr>
            <w:tcW w:w="2410" w:type="dxa"/>
          </w:tcPr>
          <w:p w14:paraId="358E6069" w14:textId="24BCE355" w:rsidR="00E12DE5" w:rsidRDefault="00E12DE5" w:rsidP="00802326">
            <w:pPr>
              <w:pStyle w:val="TableBodyText"/>
              <w:keepNext w:val="0"/>
              <w:keepLines w:val="0"/>
              <w:spacing w:before="60" w:after="60"/>
              <w:ind w:right="6"/>
              <w:jc w:val="left"/>
              <w:rPr>
                <w:b/>
              </w:rPr>
            </w:pPr>
            <w:r w:rsidRPr="002576C5">
              <w:rPr>
                <w:b/>
              </w:rPr>
              <w:t>Remoteness areas</w:t>
            </w:r>
          </w:p>
        </w:tc>
        <w:tc>
          <w:tcPr>
            <w:tcW w:w="6379" w:type="dxa"/>
          </w:tcPr>
          <w:p w14:paraId="15B3042C" w14:textId="63B81876" w:rsidR="00E12DE5" w:rsidRPr="002576C5" w:rsidRDefault="00E12DE5" w:rsidP="00802326">
            <w:pPr>
              <w:pStyle w:val="TableBodyText"/>
              <w:keepNext w:val="0"/>
              <w:keepLines w:val="0"/>
              <w:spacing w:before="60" w:after="60"/>
              <w:ind w:right="6"/>
              <w:jc w:val="left"/>
            </w:pPr>
            <w:r w:rsidRPr="002576C5">
              <w:t>An aggregation of non</w:t>
            </w:r>
            <w:r w:rsidR="0053361E">
              <w:t>–</w:t>
            </w:r>
            <w:r w:rsidRPr="002576C5">
              <w:t xml:space="preserve">continuous geographical areas </w:t>
            </w:r>
            <w:r>
              <w:t>that</w:t>
            </w:r>
            <w:r w:rsidRPr="002576C5">
              <w:t xml:space="preserve"> share common characteristics of remoteness. The delimitation criteria for remoteness areas (RAs) are based on the Accessibility/Remoteness Index </w:t>
            </w:r>
            <w:r>
              <w:t>f</w:t>
            </w:r>
            <w:r w:rsidRPr="002576C5">
              <w:t>or Australia (ARIA+)</w:t>
            </w:r>
            <w:r>
              <w:t>,</w:t>
            </w:r>
            <w:r w:rsidRPr="002576C5">
              <w:t xml:space="preserve"> which measures the remoteness of a point based on the road distance to the nearest urban centre. Within the Australian Statistical Geography Standard, each RA is created from a grouping of Statistical Areas Level 1 having a particular degree of remoteness.</w:t>
            </w:r>
          </w:p>
          <w:p w14:paraId="0FB3C9F4" w14:textId="77777777" w:rsidR="00E12DE5" w:rsidRPr="002576C5" w:rsidRDefault="00E12DE5" w:rsidP="00802326">
            <w:pPr>
              <w:pStyle w:val="TableBodyText"/>
              <w:keepNext w:val="0"/>
              <w:keepLines w:val="0"/>
              <w:spacing w:before="60" w:after="60"/>
              <w:ind w:right="6"/>
              <w:jc w:val="both"/>
            </w:pPr>
            <w:r w:rsidRPr="002576C5">
              <w:t>Remoteness areas comprise the following six categories:</w:t>
            </w:r>
          </w:p>
          <w:p w14:paraId="7F57516E" w14:textId="77777777" w:rsidR="00E12DE5" w:rsidRPr="006F2985" w:rsidRDefault="00E12DE5" w:rsidP="006F2985">
            <w:pPr>
              <w:pStyle w:val="TableBullet"/>
            </w:pPr>
            <w:r>
              <w:t>major cities of Australia</w:t>
            </w:r>
          </w:p>
          <w:p w14:paraId="53DBE737" w14:textId="77777777" w:rsidR="00E12DE5" w:rsidRPr="006F2985" w:rsidRDefault="00E12DE5" w:rsidP="006F2985">
            <w:pPr>
              <w:pStyle w:val="TableBullet"/>
            </w:pPr>
            <w:r>
              <w:t>inner regional Australia</w:t>
            </w:r>
          </w:p>
          <w:p w14:paraId="3642055E" w14:textId="77777777" w:rsidR="00E12DE5" w:rsidRPr="006F2985" w:rsidRDefault="00E12DE5" w:rsidP="006F2985">
            <w:pPr>
              <w:pStyle w:val="TableBullet"/>
            </w:pPr>
            <w:r>
              <w:t>outer regional Australia</w:t>
            </w:r>
          </w:p>
          <w:p w14:paraId="1DD4BF91" w14:textId="77777777" w:rsidR="00E12DE5" w:rsidRPr="006F2985" w:rsidRDefault="00E12DE5" w:rsidP="006F2985">
            <w:pPr>
              <w:pStyle w:val="TableBullet"/>
            </w:pPr>
            <w:r>
              <w:t>remote Australia</w:t>
            </w:r>
          </w:p>
          <w:p w14:paraId="05C5DE0B" w14:textId="77777777" w:rsidR="00E12DE5" w:rsidRPr="00E246E3" w:rsidRDefault="00E12DE5" w:rsidP="006F2985">
            <w:pPr>
              <w:pStyle w:val="TableBullet"/>
            </w:pPr>
            <w:r>
              <w:t>very remote Australia</w:t>
            </w:r>
          </w:p>
          <w:p w14:paraId="44690B0A" w14:textId="12E40099" w:rsidR="00E12DE5" w:rsidRDefault="00E12DE5" w:rsidP="006F2985">
            <w:pPr>
              <w:pStyle w:val="TableBullet"/>
            </w:pPr>
            <w:r>
              <w:t>migratory — offshore — shipping.</w:t>
            </w:r>
          </w:p>
        </w:tc>
      </w:tr>
      <w:tr w:rsidR="00E12DE5" w:rsidRPr="002576C5" w14:paraId="11B6BC8B" w14:textId="77777777" w:rsidTr="676085C9">
        <w:tc>
          <w:tcPr>
            <w:tcW w:w="2410" w:type="dxa"/>
          </w:tcPr>
          <w:p w14:paraId="7A95EAA6" w14:textId="7D6A0BEB" w:rsidR="00E12DE5" w:rsidRDefault="00E12DE5" w:rsidP="00802326">
            <w:pPr>
              <w:pStyle w:val="TableBodyText"/>
              <w:keepNext w:val="0"/>
              <w:keepLines w:val="0"/>
              <w:spacing w:before="60" w:after="60"/>
              <w:ind w:right="6"/>
              <w:jc w:val="left"/>
              <w:rPr>
                <w:b/>
              </w:rPr>
            </w:pPr>
            <w:r w:rsidRPr="002576C5">
              <w:rPr>
                <w:b/>
              </w:rPr>
              <w:t>Rent charged</w:t>
            </w:r>
          </w:p>
        </w:tc>
        <w:tc>
          <w:tcPr>
            <w:tcW w:w="6379" w:type="dxa"/>
          </w:tcPr>
          <w:p w14:paraId="0B03F609" w14:textId="4FF7B4B0" w:rsidR="00E12DE5" w:rsidRDefault="00E12DE5" w:rsidP="00802326">
            <w:pPr>
              <w:pStyle w:val="TableBullet"/>
              <w:keepNext w:val="0"/>
              <w:keepLines w:val="0"/>
              <w:numPr>
                <w:ilvl w:val="0"/>
                <w:numId w:val="0"/>
              </w:numPr>
              <w:spacing w:before="60" w:after="60"/>
              <w:ind w:left="6" w:right="6"/>
              <w:jc w:val="both"/>
            </w:pPr>
            <w:r w:rsidRPr="002576C5">
              <w:t>The amount in dollars that households are charged based on the rents they are expected to pay. The rents charged to tenants may or may not have been received.</w:t>
            </w:r>
          </w:p>
        </w:tc>
      </w:tr>
      <w:tr w:rsidR="00E12DE5" w:rsidRPr="002576C5" w14:paraId="3986AD6B" w14:textId="77777777" w:rsidTr="676085C9">
        <w:tc>
          <w:tcPr>
            <w:tcW w:w="2410" w:type="dxa"/>
          </w:tcPr>
          <w:p w14:paraId="1A5FE990" w14:textId="6858209E" w:rsidR="00E12DE5" w:rsidRDefault="00E12DE5" w:rsidP="00802326">
            <w:pPr>
              <w:pStyle w:val="TableBodyText"/>
              <w:keepNext w:val="0"/>
              <w:keepLines w:val="0"/>
              <w:spacing w:before="60" w:after="60"/>
              <w:ind w:right="6"/>
              <w:jc w:val="left"/>
              <w:rPr>
                <w:b/>
              </w:rPr>
            </w:pPr>
            <w:r w:rsidRPr="002576C5">
              <w:rPr>
                <w:b/>
              </w:rPr>
              <w:t>Tenancy (rental) unit</w:t>
            </w:r>
          </w:p>
        </w:tc>
        <w:tc>
          <w:tcPr>
            <w:tcW w:w="6379" w:type="dxa"/>
          </w:tcPr>
          <w:p w14:paraId="220DCFD4" w14:textId="0DBD2C6B" w:rsidR="00E12DE5" w:rsidRDefault="00E12DE5" w:rsidP="0037684D">
            <w:pPr>
              <w:pStyle w:val="TableBullet"/>
              <w:keepNext w:val="0"/>
              <w:keepLines w:val="0"/>
              <w:numPr>
                <w:ilvl w:val="0"/>
                <w:numId w:val="0"/>
              </w:numPr>
              <w:spacing w:before="60" w:after="60"/>
              <w:ind w:left="6" w:right="6"/>
              <w:jc w:val="both"/>
            </w:pPr>
            <w:r w:rsidRPr="002576C5">
              <w:t>A tenancy (rental</w:t>
            </w:r>
            <w:r w:rsidRPr="00107F5E">
              <w:t>) unit is the unit of accommodation for which a rental agreement can be made. With the exception of community housing, dwellings in the majority of cases have only one tenancy (rental) unit</w:t>
            </w:r>
            <w:r w:rsidR="0037684D">
              <w:t>. F</w:t>
            </w:r>
            <w:r w:rsidRPr="00107F5E">
              <w:t xml:space="preserve">or community housing and a small number of other cases (for example, boarding houses, special group homes, semi–institutional dwellings), there </w:t>
            </w:r>
            <w:r w:rsidR="0037684D">
              <w:t>is</w:t>
            </w:r>
            <w:r w:rsidRPr="00107F5E">
              <w:t xml:space="preserve"> commonly more than one tenancy (rental) unit</w:t>
            </w:r>
            <w:r w:rsidR="0037684D">
              <w:t xml:space="preserve"> per dwelling</w:t>
            </w:r>
            <w:r w:rsidRPr="00107F5E">
              <w:t>.</w:t>
            </w:r>
          </w:p>
        </w:tc>
      </w:tr>
      <w:tr w:rsidR="00E12DE5" w:rsidRPr="002576C5" w14:paraId="79D4AB93" w14:textId="77777777" w:rsidTr="676085C9">
        <w:tc>
          <w:tcPr>
            <w:tcW w:w="2410" w:type="dxa"/>
          </w:tcPr>
          <w:p w14:paraId="6A505DF9" w14:textId="17E83D1F" w:rsidR="00E12DE5" w:rsidRDefault="00E12DE5" w:rsidP="00802326">
            <w:pPr>
              <w:pStyle w:val="TableBodyText"/>
              <w:keepNext w:val="0"/>
              <w:keepLines w:val="0"/>
              <w:spacing w:before="60" w:after="60"/>
              <w:ind w:right="6"/>
              <w:jc w:val="left"/>
              <w:rPr>
                <w:b/>
              </w:rPr>
            </w:pPr>
            <w:r w:rsidRPr="002576C5">
              <w:rPr>
                <w:b/>
              </w:rPr>
              <w:t>Tenantable dwelling</w:t>
            </w:r>
          </w:p>
        </w:tc>
        <w:tc>
          <w:tcPr>
            <w:tcW w:w="6379" w:type="dxa"/>
          </w:tcPr>
          <w:p w14:paraId="757F5E66" w14:textId="426B7401" w:rsidR="00E12DE5" w:rsidRDefault="00E12DE5" w:rsidP="00802326">
            <w:pPr>
              <w:pStyle w:val="TableBullet"/>
              <w:keepNext w:val="0"/>
              <w:keepLines w:val="0"/>
              <w:numPr>
                <w:ilvl w:val="0"/>
                <w:numId w:val="0"/>
              </w:numPr>
              <w:spacing w:before="60" w:after="60"/>
              <w:ind w:left="6" w:right="6"/>
              <w:jc w:val="both"/>
            </w:pPr>
            <w:r w:rsidRPr="002576C5">
              <w:t>A dwelling where maintenance has been completed, whether occupied or unoccupied at 30 June. All occupied dwellings are tenantable.</w:t>
            </w:r>
          </w:p>
        </w:tc>
      </w:tr>
      <w:tr w:rsidR="00E12DE5" w:rsidRPr="002576C5" w14:paraId="26E3B98B" w14:textId="77777777" w:rsidTr="676085C9">
        <w:tc>
          <w:tcPr>
            <w:tcW w:w="2410" w:type="dxa"/>
          </w:tcPr>
          <w:p w14:paraId="22129C78" w14:textId="437D7B12" w:rsidR="00E12DE5" w:rsidRDefault="00E12DE5" w:rsidP="00802326">
            <w:pPr>
              <w:pStyle w:val="TableBodyText"/>
              <w:keepNext w:val="0"/>
              <w:keepLines w:val="0"/>
              <w:spacing w:before="60" w:after="60"/>
              <w:ind w:right="6"/>
              <w:jc w:val="left"/>
              <w:rPr>
                <w:b/>
              </w:rPr>
            </w:pPr>
            <w:r w:rsidRPr="002576C5">
              <w:rPr>
                <w:b/>
              </w:rPr>
              <w:t>Total gross household income</w:t>
            </w:r>
          </w:p>
        </w:tc>
        <w:tc>
          <w:tcPr>
            <w:tcW w:w="6379" w:type="dxa"/>
          </w:tcPr>
          <w:p w14:paraId="0ECB947E" w14:textId="2F4E2E18" w:rsidR="00E12DE5" w:rsidRDefault="00E12DE5" w:rsidP="00802326">
            <w:pPr>
              <w:pStyle w:val="TableBullet"/>
              <w:keepNext w:val="0"/>
              <w:keepLines w:val="0"/>
              <w:numPr>
                <w:ilvl w:val="0"/>
                <w:numId w:val="0"/>
              </w:numPr>
              <w:spacing w:before="60" w:after="60"/>
              <w:ind w:left="6" w:right="6"/>
              <w:jc w:val="both"/>
            </w:pPr>
            <w:r w:rsidRPr="002576C5">
              <w:t>The value of gross weekly income from all sources (before deductions for income tax, superannuation etc.) for all household members, expressed as dollars per week. The main components of gross income are current usual wages and salary; income derived from self–employment, government pensions, benefits and allowances; and other income comprising investments and other regular income. CRA payments are not included as income.</w:t>
            </w:r>
          </w:p>
        </w:tc>
      </w:tr>
    </w:tbl>
    <w:p w14:paraId="0E7DFB6F" w14:textId="77777777" w:rsidR="00B34258" w:rsidRDefault="00B34258"/>
    <w:tbl>
      <w:tblPr>
        <w:tblW w:w="8789" w:type="dxa"/>
        <w:tblInd w:w="-5" w:type="dxa"/>
        <w:tblLayout w:type="fixed"/>
        <w:tblCellMar>
          <w:left w:w="0" w:type="dxa"/>
          <w:right w:w="0" w:type="dxa"/>
        </w:tblCellMar>
        <w:tblLook w:val="00A0" w:firstRow="1" w:lastRow="0" w:firstColumn="1" w:lastColumn="0" w:noHBand="0" w:noVBand="0"/>
      </w:tblPr>
      <w:tblGrid>
        <w:gridCol w:w="2410"/>
        <w:gridCol w:w="6379"/>
      </w:tblGrid>
      <w:tr w:rsidR="00E12DE5" w:rsidRPr="002576C5" w14:paraId="00986C90" w14:textId="77777777" w:rsidTr="676085C9">
        <w:tc>
          <w:tcPr>
            <w:tcW w:w="2410" w:type="dxa"/>
          </w:tcPr>
          <w:p w14:paraId="68336DF7" w14:textId="3FE72CD8" w:rsidR="00E12DE5" w:rsidRDefault="00E12DE5" w:rsidP="00802326">
            <w:pPr>
              <w:pStyle w:val="TableBodyText"/>
              <w:keepNext w:val="0"/>
              <w:keepLines w:val="0"/>
              <w:spacing w:before="60" w:after="60"/>
              <w:ind w:right="6"/>
              <w:jc w:val="left"/>
              <w:rPr>
                <w:b/>
              </w:rPr>
            </w:pPr>
            <w:r w:rsidRPr="002576C5">
              <w:rPr>
                <w:b/>
              </w:rPr>
              <w:lastRenderedPageBreak/>
              <w:t>Transfer household</w:t>
            </w:r>
          </w:p>
        </w:tc>
        <w:tc>
          <w:tcPr>
            <w:tcW w:w="6379" w:type="dxa"/>
          </w:tcPr>
          <w:p w14:paraId="7E1BC326" w14:textId="1E586766" w:rsidR="00E12DE5" w:rsidRDefault="00E12DE5" w:rsidP="00802326">
            <w:pPr>
              <w:pStyle w:val="TableBullet"/>
              <w:keepNext w:val="0"/>
              <w:keepLines w:val="0"/>
              <w:numPr>
                <w:ilvl w:val="0"/>
                <w:numId w:val="0"/>
              </w:numPr>
              <w:spacing w:before="60" w:after="60"/>
              <w:ind w:left="6" w:right="6"/>
              <w:jc w:val="both"/>
            </w:pPr>
            <w:r w:rsidRPr="002576C5">
              <w:t>A household, either rebated or market renting, that relocates (transfers) from one dwelling to another within the same social housing program. In the community housing data collection, a transfer household is a household that transfers within a single community housing organisation’s portfolio (not across the sector). This leads to under</w:t>
            </w:r>
            <w:r w:rsidR="0053361E">
              <w:t>–</w:t>
            </w:r>
            <w:r w:rsidRPr="002576C5">
              <w:t>reporting of transfers.</w:t>
            </w:r>
          </w:p>
        </w:tc>
      </w:tr>
      <w:tr w:rsidR="00E12DE5" w:rsidRPr="002576C5" w14:paraId="5CC7900A" w14:textId="77777777" w:rsidTr="676085C9">
        <w:tc>
          <w:tcPr>
            <w:tcW w:w="2410" w:type="dxa"/>
          </w:tcPr>
          <w:p w14:paraId="7E324D58" w14:textId="22B02300" w:rsidR="00E12DE5" w:rsidRDefault="00E12DE5" w:rsidP="00802326">
            <w:pPr>
              <w:pStyle w:val="TableBodyText"/>
              <w:keepNext w:val="0"/>
              <w:keepLines w:val="0"/>
              <w:spacing w:before="60" w:after="60"/>
              <w:ind w:right="6"/>
              <w:jc w:val="left"/>
              <w:rPr>
                <w:b/>
              </w:rPr>
            </w:pPr>
            <w:r w:rsidRPr="002576C5">
              <w:rPr>
                <w:b/>
              </w:rPr>
              <w:t>Turnaround time</w:t>
            </w:r>
          </w:p>
        </w:tc>
        <w:tc>
          <w:tcPr>
            <w:tcW w:w="6379" w:type="dxa"/>
          </w:tcPr>
          <w:p w14:paraId="3599D3D3" w14:textId="0E03F746" w:rsidR="00E12DE5" w:rsidRDefault="00E12DE5" w:rsidP="00802326">
            <w:pPr>
              <w:pStyle w:val="TableBullet"/>
              <w:keepNext w:val="0"/>
              <w:keepLines w:val="0"/>
              <w:numPr>
                <w:ilvl w:val="0"/>
                <w:numId w:val="0"/>
              </w:numPr>
              <w:spacing w:before="60" w:after="60"/>
              <w:ind w:left="6" w:right="6"/>
              <w:jc w:val="both"/>
            </w:pPr>
            <w:r w:rsidRPr="002576C5">
              <w:t>The average time taken in days for vacant dwellings, which are available for letting, to be occupied.</w:t>
            </w:r>
          </w:p>
        </w:tc>
      </w:tr>
      <w:tr w:rsidR="00E12DE5" w:rsidRPr="002576C5" w14:paraId="0381C75E" w14:textId="77777777" w:rsidTr="676085C9">
        <w:tc>
          <w:tcPr>
            <w:tcW w:w="2410" w:type="dxa"/>
          </w:tcPr>
          <w:p w14:paraId="032DC1CD" w14:textId="5A3B8A3E" w:rsidR="00E12DE5" w:rsidRDefault="00E12DE5" w:rsidP="00802326">
            <w:pPr>
              <w:pStyle w:val="TableBodyText"/>
              <w:keepNext w:val="0"/>
              <w:keepLines w:val="0"/>
              <w:spacing w:before="60" w:after="60"/>
              <w:ind w:right="6"/>
              <w:jc w:val="left"/>
              <w:rPr>
                <w:b/>
              </w:rPr>
            </w:pPr>
            <w:r w:rsidRPr="002576C5">
              <w:rPr>
                <w:b/>
              </w:rPr>
              <w:t>Underutilisation</w:t>
            </w:r>
          </w:p>
        </w:tc>
        <w:tc>
          <w:tcPr>
            <w:tcW w:w="6379" w:type="dxa"/>
          </w:tcPr>
          <w:p w14:paraId="2585AEE4" w14:textId="4931EB61" w:rsidR="00E12DE5" w:rsidRDefault="00E12DE5" w:rsidP="00802326">
            <w:pPr>
              <w:pStyle w:val="TableBullet"/>
              <w:keepNext w:val="0"/>
              <w:keepLines w:val="0"/>
              <w:numPr>
                <w:ilvl w:val="0"/>
                <w:numId w:val="0"/>
              </w:numPr>
              <w:spacing w:before="60" w:after="60"/>
              <w:ind w:left="6" w:right="6"/>
              <w:jc w:val="both"/>
            </w:pPr>
            <w:r w:rsidRPr="002576C5">
              <w:t>A situation where a dwelling contains two or more bedrooms surplus to the needs of the household occupying it, according to the Canadian National Occupancy Standard.</w:t>
            </w:r>
          </w:p>
        </w:tc>
      </w:tr>
      <w:tr w:rsidR="00E12DE5" w:rsidRPr="002576C5" w14:paraId="1E77D8B4" w14:textId="77777777" w:rsidTr="676085C9">
        <w:tc>
          <w:tcPr>
            <w:tcW w:w="2410" w:type="dxa"/>
          </w:tcPr>
          <w:p w14:paraId="33BB0780" w14:textId="39336529" w:rsidR="00E12DE5" w:rsidRDefault="00E12DE5" w:rsidP="00802326">
            <w:pPr>
              <w:pStyle w:val="TableBodyText"/>
              <w:keepNext w:val="0"/>
              <w:keepLines w:val="0"/>
              <w:spacing w:before="60" w:after="60"/>
              <w:ind w:right="6"/>
              <w:jc w:val="left"/>
              <w:rPr>
                <w:b/>
              </w:rPr>
            </w:pPr>
            <w:r w:rsidRPr="002576C5">
              <w:rPr>
                <w:b/>
              </w:rPr>
              <w:t>Untenantable dwelling</w:t>
            </w:r>
          </w:p>
        </w:tc>
        <w:tc>
          <w:tcPr>
            <w:tcW w:w="6379" w:type="dxa"/>
          </w:tcPr>
          <w:p w14:paraId="6B2B12BC" w14:textId="1B1FD5DC" w:rsidR="00E12DE5" w:rsidRDefault="00E12DE5" w:rsidP="00802326">
            <w:pPr>
              <w:pStyle w:val="TableBullet"/>
              <w:keepNext w:val="0"/>
              <w:keepLines w:val="0"/>
              <w:numPr>
                <w:ilvl w:val="0"/>
                <w:numId w:val="0"/>
              </w:numPr>
              <w:spacing w:before="60" w:after="60"/>
              <w:ind w:left="6" w:right="6"/>
              <w:jc w:val="both"/>
            </w:pPr>
            <w:r w:rsidRPr="002576C5">
              <w:t>A dwelling not currently occupied by a tenant, where maintenance has been either deferred or not completed at 30 June.</w:t>
            </w:r>
          </w:p>
        </w:tc>
      </w:tr>
    </w:tbl>
    <w:p w14:paraId="6C72E2EE" w14:textId="32DC983D" w:rsidR="00D434A0" w:rsidRDefault="00E27B20" w:rsidP="00E27B20">
      <w:pPr>
        <w:pStyle w:val="Heading2"/>
      </w:pPr>
      <w:bookmarkStart w:id="45" w:name="_Toc27564469"/>
      <w:r>
        <w:t>18.4</w:t>
      </w:r>
      <w:r w:rsidRPr="00E27B20">
        <w:tab/>
        <w:t>References</w:t>
      </w:r>
      <w:bookmarkEnd w:id="45"/>
    </w:p>
    <w:p w14:paraId="51D52364" w14:textId="34C7B09E" w:rsidR="0053393B" w:rsidRDefault="0053393B" w:rsidP="0053393B">
      <w:pPr>
        <w:pStyle w:val="Reference"/>
      </w:pPr>
      <w:r w:rsidRPr="0053393B">
        <w:t>AIHW (Australian Institute of Health and Welfare) 20</w:t>
      </w:r>
      <w:r w:rsidR="003D09D1">
        <w:t>2</w:t>
      </w:r>
      <w:r w:rsidR="00C13C1D">
        <w:t>1</w:t>
      </w:r>
      <w:r w:rsidRPr="0053393B">
        <w:t xml:space="preserve">, </w:t>
      </w:r>
      <w:r w:rsidRPr="00257FAA">
        <w:rPr>
          <w:i/>
        </w:rPr>
        <w:t>Housing assistance in Australia</w:t>
      </w:r>
      <w:r w:rsidRPr="0053393B">
        <w:t xml:space="preserve">, </w:t>
      </w:r>
      <w:r w:rsidR="002B1B52" w:rsidRPr="00B71131">
        <w:t>https://www.aihw.gov.au/reports/housing-assistance/housing-assistance-in-australia/contents/priority-groups-and-waiting-lists</w:t>
      </w:r>
      <w:r w:rsidRPr="0053393B">
        <w:t xml:space="preserve"> (accessed </w:t>
      </w:r>
      <w:r w:rsidR="002B1B52" w:rsidRPr="00B71131">
        <w:t>11</w:t>
      </w:r>
      <w:r w:rsidR="00FA6345" w:rsidRPr="00B71131">
        <w:t xml:space="preserve"> </w:t>
      </w:r>
      <w:r w:rsidR="002B1B52" w:rsidRPr="00B71131">
        <w:t>November</w:t>
      </w:r>
      <w:r w:rsidR="00C13C1D" w:rsidRPr="0053393B">
        <w:t xml:space="preserve"> </w:t>
      </w:r>
      <w:r w:rsidRPr="0053393B">
        <w:t>20</w:t>
      </w:r>
      <w:r w:rsidR="00FA6345">
        <w:t>2</w:t>
      </w:r>
      <w:r w:rsidR="00C13C1D">
        <w:t>1</w:t>
      </w:r>
      <w:r w:rsidRPr="0053393B">
        <w:t>)</w:t>
      </w:r>
    </w:p>
    <w:p w14:paraId="0EF5E0EB" w14:textId="6947BE47" w:rsidR="0053393B" w:rsidRDefault="0053393B" w:rsidP="0053393B">
      <w:pPr>
        <w:pStyle w:val="Reference"/>
      </w:pPr>
      <w:r w:rsidRPr="0053393B">
        <w:t>——</w:t>
      </w:r>
      <w:r>
        <w:t xml:space="preserve"> </w:t>
      </w:r>
      <w:r w:rsidRPr="00B71131">
        <w:t>20</w:t>
      </w:r>
      <w:r w:rsidR="00BA2A50" w:rsidRPr="00B71131">
        <w:t>22</w:t>
      </w:r>
      <w:r>
        <w:t xml:space="preserve">, </w:t>
      </w:r>
      <w:r w:rsidRPr="00257FAA">
        <w:rPr>
          <w:i/>
        </w:rPr>
        <w:t>National Social Housing Survey:</w:t>
      </w:r>
      <w:r w:rsidR="00494996">
        <w:rPr>
          <w:i/>
        </w:rPr>
        <w:t> </w:t>
      </w:r>
      <w:r w:rsidRPr="00257FAA">
        <w:rPr>
          <w:i/>
        </w:rPr>
        <w:t xml:space="preserve">key results </w:t>
      </w:r>
      <w:r w:rsidRPr="00B71131">
        <w:rPr>
          <w:i/>
        </w:rPr>
        <w:t>20</w:t>
      </w:r>
      <w:r w:rsidR="00BA2A50" w:rsidRPr="00B71131">
        <w:rPr>
          <w:i/>
        </w:rPr>
        <w:t>21</w:t>
      </w:r>
      <w:r w:rsidRPr="0053393B">
        <w:t>, www.aihw.gov.au/reports/</w:t>
      </w:r>
      <w:r w:rsidR="00FF1763">
        <w:br/>
      </w:r>
      <w:r w:rsidRPr="0053393B">
        <w:t>housing</w:t>
      </w:r>
      <w:r w:rsidR="00065C43">
        <w:noBreakHyphen/>
      </w:r>
      <w:r w:rsidRPr="0053393B">
        <w:t>assistance/national</w:t>
      </w:r>
      <w:r w:rsidR="00065C43">
        <w:noBreakHyphen/>
      </w:r>
      <w:r w:rsidRPr="0053393B">
        <w:t>social</w:t>
      </w:r>
      <w:r w:rsidR="00065C43">
        <w:noBreakHyphen/>
      </w:r>
      <w:r w:rsidRPr="0053393B">
        <w:t>housing</w:t>
      </w:r>
      <w:r w:rsidR="00065C43">
        <w:noBreakHyphen/>
      </w:r>
      <w:r w:rsidRPr="0053393B">
        <w:t>survey</w:t>
      </w:r>
      <w:r w:rsidR="00065C43">
        <w:noBreakHyphen/>
      </w:r>
      <w:r w:rsidRPr="0053393B">
        <w:t>20</w:t>
      </w:r>
      <w:r w:rsidR="00A87216">
        <w:t>21</w:t>
      </w:r>
      <w:r w:rsidR="00065C43">
        <w:noBreakHyphen/>
      </w:r>
      <w:r w:rsidRPr="0053393B">
        <w:t>key</w:t>
      </w:r>
      <w:r w:rsidR="00065C43">
        <w:noBreakHyphen/>
      </w:r>
      <w:r w:rsidR="00EB234A">
        <w:t>r</w:t>
      </w:r>
      <w:r w:rsidRPr="0053393B">
        <w:t>esults/contents/</w:t>
      </w:r>
      <w:r w:rsidR="00EB234A">
        <w:br/>
      </w:r>
      <w:r w:rsidRPr="0053393B">
        <w:t>table</w:t>
      </w:r>
      <w:r w:rsidR="00065C43">
        <w:noBreakHyphen/>
      </w:r>
      <w:r w:rsidRPr="0053393B">
        <w:t>of</w:t>
      </w:r>
      <w:r w:rsidR="00065C43">
        <w:noBreakHyphen/>
      </w:r>
      <w:r w:rsidRPr="0053393B">
        <w:t>contents (</w:t>
      </w:r>
      <w:r w:rsidR="00A87216" w:rsidRPr="00B71131">
        <w:t>in process</w:t>
      </w:r>
      <w:r w:rsidRPr="0053393B">
        <w:t>).</w:t>
      </w:r>
    </w:p>
    <w:p w14:paraId="748A2A86" w14:textId="2636D45D" w:rsidR="00257FAA" w:rsidRPr="00B71131" w:rsidRDefault="00257FAA" w:rsidP="00257FAA">
      <w:pPr>
        <w:pStyle w:val="Reference"/>
        <w:rPr>
          <w:vertAlign w:val="subscript"/>
        </w:rPr>
      </w:pPr>
      <w:r>
        <w:t xml:space="preserve">Yates, J. and Gabriel, M. 2006, </w:t>
      </w:r>
      <w:r w:rsidRPr="00257FAA">
        <w:rPr>
          <w:i/>
        </w:rPr>
        <w:t>Housing Affordability in Australia</w:t>
      </w:r>
      <w:r>
        <w:t>, Research Paper No. 3, Australian Housing and Urban Research Institute, Melbourne.</w:t>
      </w:r>
    </w:p>
    <w:p w14:paraId="6223E501" w14:textId="738E5AED" w:rsidR="00257FAA" w:rsidRPr="0053393B" w:rsidRDefault="00257FAA" w:rsidP="00257FAA">
      <w:pPr>
        <w:pStyle w:val="Reference"/>
      </w:pPr>
      <w:r>
        <w:t xml:space="preserve">Yates, J. and Milligan, V. 2007, </w:t>
      </w:r>
      <w:r w:rsidRPr="00257FAA">
        <w:rPr>
          <w:i/>
        </w:rPr>
        <w:t>Housing affordability: a 21st century problem</w:t>
      </w:r>
      <w:r>
        <w:t>, Final Report No. 105, Australian Housing and Urban Research Institute, Melbourne.</w:t>
      </w:r>
    </w:p>
    <w:sectPr w:rsidR="00257FAA" w:rsidRPr="0053393B" w:rsidSect="00870632">
      <w:headerReference w:type="even" r:id="rId21"/>
      <w:headerReference w:type="default" r:id="rId22"/>
      <w:footerReference w:type="even" r:id="rId23"/>
      <w:footerReference w:type="default" r:id="rId24"/>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723E" w14:textId="77777777" w:rsidR="00593365" w:rsidRDefault="00593365">
      <w:r>
        <w:separator/>
      </w:r>
    </w:p>
  </w:endnote>
  <w:endnote w:type="continuationSeparator" w:id="0">
    <w:p w14:paraId="117BC98D" w14:textId="77777777" w:rsidR="00593365" w:rsidRDefault="00593365">
      <w:r>
        <w:continuationSeparator/>
      </w:r>
    </w:p>
  </w:endnote>
  <w:endnote w:type="continuationNotice" w:id="1">
    <w:p w14:paraId="0FA7E367" w14:textId="77777777" w:rsidR="00593365" w:rsidRDefault="0059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67"/>
      <w:gridCol w:w="7710"/>
      <w:gridCol w:w="510"/>
    </w:tblGrid>
    <w:tr w:rsidR="003950C5" w14:paraId="049B6995" w14:textId="77777777" w:rsidTr="003D30F8">
      <w:trPr>
        <w:trHeight w:hRule="exact" w:val="567"/>
      </w:trPr>
      <w:tc>
        <w:tcPr>
          <w:tcW w:w="567" w:type="dxa"/>
        </w:tcPr>
        <w:p w14:paraId="2F1FD326" w14:textId="6EC7011D" w:rsidR="003950C5" w:rsidRDefault="003950C5" w:rsidP="003D30F8">
          <w:pPr>
            <w:pStyle w:val="Footer"/>
          </w:pPr>
          <w:r w:rsidRPr="003D30F8">
            <w:rPr>
              <w:rFonts w:cs="Arial"/>
              <w:b/>
            </w:rPr>
            <w:t>18.</w:t>
          </w:r>
          <w:r w:rsidRPr="003D30F8">
            <w:rPr>
              <w:rFonts w:cs="Arial"/>
              <w:b/>
            </w:rPr>
            <w:fldChar w:fldCharType="begin"/>
          </w:r>
          <w:r w:rsidRPr="003D30F8">
            <w:rPr>
              <w:rFonts w:cs="Arial"/>
              <w:b/>
            </w:rPr>
            <w:instrText xml:space="preserve">PAGE  </w:instrText>
          </w:r>
          <w:r w:rsidRPr="003D30F8">
            <w:rPr>
              <w:rFonts w:cs="Arial"/>
              <w:b/>
            </w:rPr>
            <w:fldChar w:fldCharType="separate"/>
          </w:r>
          <w:r>
            <w:rPr>
              <w:rFonts w:cs="Arial"/>
              <w:b/>
              <w:noProof/>
            </w:rPr>
            <w:t>2</w:t>
          </w:r>
          <w:r w:rsidRPr="003D30F8">
            <w:rPr>
              <w:rFonts w:cs="Arial"/>
              <w:b/>
            </w:rPr>
            <w:fldChar w:fldCharType="end"/>
          </w:r>
        </w:p>
      </w:tc>
      <w:tc>
        <w:tcPr>
          <w:tcW w:w="7710" w:type="dxa"/>
        </w:tcPr>
        <w:p w14:paraId="72F42FCB" w14:textId="10B7355F" w:rsidR="007B3ECB" w:rsidRPr="00BA5B14" w:rsidRDefault="003950C5" w:rsidP="006B7883">
          <w:pPr>
            <w:pStyle w:val="Footer"/>
            <w:rPr>
              <w:rFonts w:cs="Arial"/>
            </w:rPr>
          </w:pPr>
          <w:r w:rsidRPr="009D09BD">
            <w:rPr>
              <w:rFonts w:cs="Arial"/>
            </w:rPr>
            <w:t xml:space="preserve">Report on Government Services </w:t>
          </w:r>
          <w:r w:rsidR="001D7715" w:rsidRPr="009D09BD">
            <w:rPr>
              <w:rFonts w:cs="Arial"/>
            </w:rPr>
            <w:t>202</w:t>
          </w:r>
          <w:r w:rsidR="001D7715">
            <w:rPr>
              <w:rFonts w:cs="Arial"/>
            </w:rPr>
            <w:t>2</w:t>
          </w:r>
          <w:r w:rsidR="007B3ECB">
            <w:rPr>
              <w:rFonts w:cs="Arial"/>
            </w:rPr>
            <w:t>06</w:t>
          </w:r>
        </w:p>
      </w:tc>
      <w:tc>
        <w:tcPr>
          <w:tcW w:w="510" w:type="dxa"/>
        </w:tcPr>
        <w:p w14:paraId="1CDA7A88" w14:textId="478FC731" w:rsidR="003950C5" w:rsidRPr="00A24443" w:rsidRDefault="003950C5">
          <w:pPr>
            <w:pStyle w:val="Footer"/>
            <w:jc w:val="right"/>
            <w:rPr>
              <w:caps w:val="0"/>
            </w:rPr>
          </w:pPr>
        </w:p>
      </w:tc>
    </w:tr>
  </w:tbl>
  <w:p w14:paraId="592E391E" w14:textId="77777777" w:rsidR="003950C5" w:rsidRDefault="003950C5">
    <w:pPr>
      <w:pStyle w:val="FooterEnd"/>
    </w:pPr>
  </w:p>
  <w:p w14:paraId="2C27B651" w14:textId="77777777" w:rsidR="003950C5" w:rsidRDefault="003950C5"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50C5" w14:paraId="7A537A57" w14:textId="77777777" w:rsidTr="005F48ED">
      <w:trPr>
        <w:trHeight w:hRule="exact" w:val="567"/>
      </w:trPr>
      <w:tc>
        <w:tcPr>
          <w:tcW w:w="510" w:type="dxa"/>
        </w:tcPr>
        <w:p w14:paraId="6B0C0200" w14:textId="77777777" w:rsidR="003950C5" w:rsidRDefault="003950C5">
          <w:pPr>
            <w:pStyle w:val="Footer"/>
            <w:ind w:right="360" w:firstLine="360"/>
          </w:pPr>
        </w:p>
      </w:tc>
      <w:tc>
        <w:tcPr>
          <w:tcW w:w="7767" w:type="dxa"/>
        </w:tcPr>
        <w:p w14:paraId="46B5A260" w14:textId="4FBF1011" w:rsidR="003950C5" w:rsidRPr="00BA5B14" w:rsidRDefault="003950C5" w:rsidP="009D2B85">
          <w:pPr>
            <w:pStyle w:val="Footer"/>
            <w:jc w:val="right"/>
            <w:rPr>
              <w:rFonts w:cs="Arial"/>
            </w:rPr>
          </w:pPr>
          <w:r w:rsidRPr="004F1E16">
            <w:t>Housing interpretative</w:t>
          </w:r>
          <w:r>
            <w:rPr>
              <w:rFonts w:cs="Arial"/>
            </w:rPr>
            <w:t xml:space="preserve"> material</w:t>
          </w:r>
          <w:bookmarkStart w:id="5" w:name="DraftReportOdd"/>
          <w:bookmarkEnd w:id="5"/>
        </w:p>
      </w:tc>
      <w:tc>
        <w:tcPr>
          <w:tcW w:w="510" w:type="dxa"/>
        </w:tcPr>
        <w:p w14:paraId="412317C3" w14:textId="108B561E" w:rsidR="003950C5" w:rsidRPr="00A24443" w:rsidRDefault="003950C5">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F894806" w14:textId="77777777" w:rsidR="003950C5" w:rsidRDefault="003950C5">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CB58" w14:textId="77777777" w:rsidR="008B060B" w:rsidRDefault="008B06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67"/>
      <w:gridCol w:w="13041"/>
    </w:tblGrid>
    <w:tr w:rsidR="008C661F" w14:paraId="22DA5D9A" w14:textId="77777777" w:rsidTr="00A00C35">
      <w:trPr>
        <w:trHeight w:hRule="exact" w:val="567"/>
      </w:trPr>
      <w:tc>
        <w:tcPr>
          <w:tcW w:w="567" w:type="dxa"/>
          <w:shd w:val="clear" w:color="auto" w:fill="auto"/>
        </w:tcPr>
        <w:p w14:paraId="4E56E5EB" w14:textId="4412CF39" w:rsidR="008C661F" w:rsidRPr="00A24443" w:rsidRDefault="00B16DC5" w:rsidP="0019293B">
          <w:pPr>
            <w:pStyle w:val="Footer"/>
            <w:tabs>
              <w:tab w:val="left" w:pos="0"/>
            </w:tabs>
            <w:ind w:right="0"/>
            <w:rPr>
              <w:rStyle w:val="PageNumber"/>
              <w:caps w:val="0"/>
            </w:rPr>
          </w:pPr>
          <w:r w:rsidRPr="003D30F8">
            <w:rPr>
              <w:rFonts w:cs="Arial"/>
              <w:b/>
            </w:rPr>
            <w:t>18.</w:t>
          </w:r>
          <w:r w:rsidRPr="003D30F8">
            <w:rPr>
              <w:rFonts w:cs="Arial"/>
              <w:b/>
            </w:rPr>
            <w:fldChar w:fldCharType="begin"/>
          </w:r>
          <w:r w:rsidRPr="003D30F8">
            <w:rPr>
              <w:rFonts w:cs="Arial"/>
              <w:b/>
            </w:rPr>
            <w:instrText xml:space="preserve">PAGE  </w:instrText>
          </w:r>
          <w:r w:rsidRPr="003D30F8">
            <w:rPr>
              <w:rFonts w:cs="Arial"/>
              <w:b/>
            </w:rPr>
            <w:fldChar w:fldCharType="separate"/>
          </w:r>
          <w:r>
            <w:rPr>
              <w:rFonts w:cs="Arial"/>
              <w:b/>
            </w:rPr>
            <w:t>2</w:t>
          </w:r>
          <w:r w:rsidRPr="003D30F8">
            <w:rPr>
              <w:rFonts w:cs="Arial"/>
              <w:b/>
            </w:rPr>
            <w:fldChar w:fldCharType="end"/>
          </w:r>
        </w:p>
      </w:tc>
      <w:tc>
        <w:tcPr>
          <w:tcW w:w="13041" w:type="dxa"/>
        </w:tcPr>
        <w:p w14:paraId="76BF4581" w14:textId="6C005962" w:rsidR="008C661F" w:rsidRPr="0013739A" w:rsidRDefault="00A72669" w:rsidP="00A72669">
          <w:pPr>
            <w:pStyle w:val="Footer"/>
            <w:rPr>
              <w:rFonts w:cs="Arial"/>
            </w:rPr>
          </w:pPr>
          <w:r>
            <w:rPr>
              <w:rFonts w:cs="Arial"/>
            </w:rPr>
            <w:t>Report on Government Services 2022</w:t>
          </w:r>
          <w:r w:rsidR="001962EC">
            <w:rPr>
              <w:rFonts w:cs="Arial"/>
            </w:rPr>
            <w:t>06</w:t>
          </w:r>
        </w:p>
      </w:tc>
    </w:tr>
  </w:tbl>
  <w:p w14:paraId="2E459A9D" w14:textId="77777777" w:rsidR="008C661F" w:rsidRDefault="008C661F" w:rsidP="0019293B">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6"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248"/>
      <w:gridCol w:w="848"/>
    </w:tblGrid>
    <w:tr w:rsidR="008C661F" w14:paraId="558D8457" w14:textId="77777777" w:rsidTr="00A00C35">
      <w:trPr>
        <w:trHeight w:hRule="exact" w:val="567"/>
      </w:trPr>
      <w:tc>
        <w:tcPr>
          <w:tcW w:w="510" w:type="dxa"/>
        </w:tcPr>
        <w:p w14:paraId="780EEECC" w14:textId="77777777" w:rsidR="008C661F" w:rsidRDefault="008C661F" w:rsidP="00055DB8">
          <w:pPr>
            <w:pStyle w:val="Footer"/>
            <w:ind w:right="360" w:firstLine="360"/>
          </w:pPr>
        </w:p>
      </w:tc>
      <w:sdt>
        <w:sdtPr>
          <w:alias w:val="Title"/>
          <w:tag w:val=""/>
          <w:id w:val="-880782382"/>
          <w:dataBinding w:prefixMappings="xmlns:ns0='http://purl.org/dc/elements/1.1/' xmlns:ns1='http://schemas.openxmlformats.org/package/2006/metadata/core-properties' " w:xpath="/ns1:coreProperties[1]/ns0:title[1]" w:storeItemID="{6C3C8BC8-F283-45AE-878A-BAB7291924A1}"/>
          <w:text/>
        </w:sdtPr>
        <w:sdtEndPr/>
        <w:sdtContent>
          <w:tc>
            <w:tcPr>
              <w:tcW w:w="12248" w:type="dxa"/>
            </w:tcPr>
            <w:p w14:paraId="6FEC0948" w14:textId="1CF8AA3A" w:rsidR="008C661F" w:rsidRPr="00BA5B14" w:rsidRDefault="00024A71" w:rsidP="00055DB8">
              <w:pPr>
                <w:pStyle w:val="Footer"/>
                <w:jc w:val="right"/>
                <w:rPr>
                  <w:rFonts w:cs="Arial"/>
                </w:rPr>
              </w:pPr>
              <w:r>
                <w:t>Housing interpretative materia</w:t>
              </w:r>
              <w:r w:rsidR="008B060B">
                <w:t>l</w:t>
              </w:r>
            </w:p>
          </w:tc>
        </w:sdtContent>
      </w:sdt>
      <w:tc>
        <w:tcPr>
          <w:tcW w:w="848" w:type="dxa"/>
          <w:shd w:val="clear" w:color="auto" w:fill="auto"/>
        </w:tcPr>
        <w:p w14:paraId="4D2D150D" w14:textId="36510ABE" w:rsidR="008C661F" w:rsidRDefault="00CE24C0" w:rsidP="00CE24C0">
          <w:pPr>
            <w:pStyle w:val="Footer"/>
            <w:tabs>
              <w:tab w:val="left" w:pos="235"/>
              <w:tab w:val="center" w:pos="421"/>
              <w:tab w:val="right" w:pos="559"/>
              <w:tab w:val="right" w:pos="842"/>
            </w:tabs>
            <w:rPr>
              <w:rStyle w:val="PageNumber"/>
              <w:caps w:val="0"/>
            </w:rPr>
          </w:pPr>
          <w:r>
            <w:rPr>
              <w:rFonts w:cs="Arial"/>
              <w:b/>
            </w:rPr>
            <w:tab/>
          </w:r>
          <w:r>
            <w:rPr>
              <w:rFonts w:cs="Arial"/>
              <w:b/>
            </w:rPr>
            <w:tab/>
          </w:r>
          <w:r w:rsidR="00B16DC5" w:rsidRPr="003D30F8">
            <w:rPr>
              <w:rFonts w:cs="Arial"/>
              <w:b/>
            </w:rPr>
            <w:t>18.</w:t>
          </w:r>
          <w:r w:rsidR="00B16DC5" w:rsidRPr="003D30F8">
            <w:rPr>
              <w:rFonts w:cs="Arial"/>
              <w:b/>
            </w:rPr>
            <w:fldChar w:fldCharType="begin"/>
          </w:r>
          <w:r w:rsidR="00B16DC5" w:rsidRPr="003D30F8">
            <w:rPr>
              <w:rFonts w:cs="Arial"/>
              <w:b/>
            </w:rPr>
            <w:instrText xml:space="preserve">PAGE  </w:instrText>
          </w:r>
          <w:r w:rsidR="00B16DC5" w:rsidRPr="003D30F8">
            <w:rPr>
              <w:rFonts w:cs="Arial"/>
              <w:b/>
            </w:rPr>
            <w:fldChar w:fldCharType="separate"/>
          </w:r>
          <w:r w:rsidR="00B16DC5">
            <w:rPr>
              <w:rFonts w:cs="Arial"/>
              <w:b/>
            </w:rPr>
            <w:t>2</w:t>
          </w:r>
          <w:r w:rsidR="00B16DC5" w:rsidRPr="003D30F8">
            <w:rPr>
              <w:rFonts w:cs="Arial"/>
              <w:b/>
            </w:rPr>
            <w:fldChar w:fldCharType="end"/>
          </w:r>
        </w:p>
      </w:tc>
    </w:tr>
  </w:tbl>
  <w:p w14:paraId="311AD7AC" w14:textId="77777777" w:rsidR="008C661F" w:rsidRDefault="008C661F">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50C5" w14:paraId="595F5DFF" w14:textId="77777777" w:rsidTr="005F48ED">
      <w:trPr>
        <w:trHeight w:hRule="exact" w:val="567"/>
      </w:trPr>
      <w:tc>
        <w:tcPr>
          <w:tcW w:w="510" w:type="dxa"/>
        </w:tcPr>
        <w:p w14:paraId="55B5ACD9" w14:textId="2755CDAC" w:rsidR="003950C5" w:rsidRPr="00A24443" w:rsidRDefault="00811008" w:rsidP="0019293B">
          <w:pPr>
            <w:pStyle w:val="Footer"/>
            <w:tabs>
              <w:tab w:val="left" w:pos="0"/>
            </w:tabs>
            <w:ind w:right="0"/>
            <w:rPr>
              <w:rStyle w:val="PageNumbe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11</w:t>
          </w:r>
          <w:r w:rsidRPr="00A24443">
            <w:rPr>
              <w:rStyle w:val="PageNumber"/>
              <w:caps w:val="0"/>
            </w:rPr>
            <w:fldChar w:fldCharType="end"/>
          </w:r>
        </w:p>
      </w:tc>
      <w:tc>
        <w:tcPr>
          <w:tcW w:w="7767" w:type="dxa"/>
        </w:tcPr>
        <w:p w14:paraId="35B4D940" w14:textId="101ED525" w:rsidR="003950C5" w:rsidRPr="0013739A" w:rsidRDefault="003950C5" w:rsidP="006B7883">
          <w:pPr>
            <w:pStyle w:val="Footer"/>
            <w:rPr>
              <w:rFonts w:cs="Arial"/>
            </w:rPr>
          </w:pPr>
          <w:r>
            <w:rPr>
              <w:rFonts w:cs="Arial"/>
            </w:rPr>
            <w:t xml:space="preserve">Report on Government Services </w:t>
          </w:r>
          <w:r w:rsidR="003D40B2">
            <w:rPr>
              <w:rFonts w:cs="Arial"/>
            </w:rPr>
            <w:t>2022</w:t>
          </w:r>
          <w:r w:rsidR="00BB3AC2">
            <w:rPr>
              <w:rFonts w:cs="Arial"/>
            </w:rPr>
            <w:t>06</w:t>
          </w:r>
        </w:p>
      </w:tc>
      <w:tc>
        <w:tcPr>
          <w:tcW w:w="510" w:type="dxa"/>
        </w:tcPr>
        <w:p w14:paraId="75FF2C9C" w14:textId="77777777" w:rsidR="003950C5" w:rsidRDefault="003950C5" w:rsidP="0019293B">
          <w:pPr>
            <w:pStyle w:val="Footer"/>
          </w:pPr>
        </w:p>
      </w:tc>
    </w:tr>
  </w:tbl>
  <w:p w14:paraId="3AA5ED42" w14:textId="77777777" w:rsidR="003950C5" w:rsidRDefault="003950C5" w:rsidP="0019293B">
    <w:pPr>
      <w:pStyle w:val="FooterEnd"/>
    </w:pPr>
  </w:p>
  <w:p w14:paraId="593B5EEE" w14:textId="77777777" w:rsidR="003950C5" w:rsidRDefault="003950C5" w:rsidP="0019293B">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50C5" w14:paraId="25D99679" w14:textId="77777777" w:rsidTr="005F48ED">
      <w:trPr>
        <w:trHeight w:hRule="exact" w:val="567"/>
      </w:trPr>
      <w:tc>
        <w:tcPr>
          <w:tcW w:w="510" w:type="dxa"/>
        </w:tcPr>
        <w:p w14:paraId="42BDC53B" w14:textId="77777777" w:rsidR="003950C5" w:rsidRDefault="003950C5">
          <w:pPr>
            <w:pStyle w:val="Footer"/>
            <w:ind w:right="360" w:firstLine="360"/>
          </w:pPr>
        </w:p>
      </w:tc>
      <w:tc>
        <w:tcPr>
          <w:tcW w:w="7767" w:type="dxa"/>
        </w:tcPr>
        <w:p w14:paraId="05443C5B" w14:textId="172CE8CC" w:rsidR="003950C5" w:rsidRPr="00BA5B14" w:rsidRDefault="003950C5" w:rsidP="00325E72">
          <w:pPr>
            <w:pStyle w:val="Footer"/>
            <w:jc w:val="right"/>
            <w:rPr>
              <w:rFonts w:cs="Arial"/>
            </w:rPr>
          </w:pPr>
          <w:r>
            <w:rPr>
              <w:rFonts w:cs="Arial"/>
            </w:rPr>
            <w:t>Housing interpretative material</w:t>
          </w:r>
        </w:p>
      </w:tc>
      <w:tc>
        <w:tcPr>
          <w:tcW w:w="510" w:type="dxa"/>
        </w:tcPr>
        <w:p w14:paraId="25CC3352" w14:textId="5CD2ADC9" w:rsidR="003950C5" w:rsidRPr="00A24443" w:rsidRDefault="00811008">
          <w:pPr>
            <w:pStyle w:val="Footer"/>
            <w:jc w:val="right"/>
            <w:rPr>
              <w:caps w:val="0"/>
            </w:rPr>
          </w:pPr>
          <w:r>
            <w:rPr>
              <w:rStyle w:val="PageNumber"/>
              <w:caps w:val="0"/>
            </w:rPr>
            <w:t>18.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11</w:t>
          </w:r>
          <w:r w:rsidRPr="00A24443">
            <w:rPr>
              <w:rStyle w:val="PageNumber"/>
              <w:caps w:val="0"/>
            </w:rPr>
            <w:fldChar w:fldCharType="end"/>
          </w:r>
        </w:p>
      </w:tc>
    </w:tr>
  </w:tbl>
  <w:p w14:paraId="276E76F3" w14:textId="77777777" w:rsidR="003950C5" w:rsidRDefault="003950C5">
    <w:pPr>
      <w:pStyle w:val="FooterEnd"/>
    </w:pPr>
  </w:p>
  <w:p w14:paraId="2554D6B6" w14:textId="77777777" w:rsidR="003950C5" w:rsidRDefault="003950C5">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E8A3" w14:textId="77777777" w:rsidR="00593365" w:rsidRDefault="00593365">
      <w:r>
        <w:separator/>
      </w:r>
    </w:p>
  </w:footnote>
  <w:footnote w:type="continuationSeparator" w:id="0">
    <w:p w14:paraId="305D0C6E" w14:textId="77777777" w:rsidR="00593365" w:rsidRDefault="00593365">
      <w:r>
        <w:continuationSeparator/>
      </w:r>
    </w:p>
  </w:footnote>
  <w:footnote w:type="continuationNotice" w:id="1">
    <w:p w14:paraId="6C05F20B" w14:textId="77777777" w:rsidR="00593365" w:rsidRDefault="00593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50C5" w14:paraId="666717A9" w14:textId="77777777">
      <w:tc>
        <w:tcPr>
          <w:tcW w:w="2155" w:type="dxa"/>
          <w:tcBorders>
            <w:top w:val="single" w:sz="24" w:space="0" w:color="auto"/>
          </w:tcBorders>
        </w:tcPr>
        <w:p w14:paraId="1C8FB1F5" w14:textId="77777777" w:rsidR="003950C5" w:rsidRDefault="003950C5" w:rsidP="0019293B">
          <w:pPr>
            <w:pStyle w:val="HeaderEven"/>
          </w:pPr>
        </w:p>
      </w:tc>
      <w:tc>
        <w:tcPr>
          <w:tcW w:w="6634" w:type="dxa"/>
          <w:tcBorders>
            <w:top w:val="single" w:sz="6" w:space="0" w:color="auto"/>
          </w:tcBorders>
        </w:tcPr>
        <w:p w14:paraId="4FAACC29" w14:textId="5E49275C" w:rsidR="003950C5" w:rsidRDefault="00AA66A5" w:rsidP="005E4403">
          <w:pPr>
            <w:pStyle w:val="HeaderEven"/>
            <w:jc w:val="right"/>
          </w:pPr>
          <w:r>
            <w:tab/>
          </w:r>
        </w:p>
      </w:tc>
    </w:tr>
  </w:tbl>
  <w:p w14:paraId="1C039546" w14:textId="77777777" w:rsidR="003950C5" w:rsidRDefault="003950C5" w:rsidP="0019293B">
    <w:pPr>
      <w:pStyle w:val="HeaderEnd"/>
    </w:pPr>
  </w:p>
  <w:p w14:paraId="2EF52573" w14:textId="77777777" w:rsidR="003950C5" w:rsidRDefault="003950C5"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50C5" w14:paraId="4DEC8FD6" w14:textId="77777777" w:rsidTr="006F2985">
      <w:tc>
        <w:tcPr>
          <w:tcW w:w="6634" w:type="dxa"/>
          <w:tcBorders>
            <w:top w:val="single" w:sz="6" w:space="0" w:color="auto"/>
          </w:tcBorders>
        </w:tcPr>
        <w:p w14:paraId="03348291" w14:textId="6573ED68" w:rsidR="003950C5" w:rsidRDefault="00AA66A5" w:rsidP="00B611D1">
          <w:pPr>
            <w:pStyle w:val="HeaderOdd"/>
          </w:pPr>
          <w:r>
            <w:tab/>
          </w:r>
        </w:p>
      </w:tc>
      <w:tc>
        <w:tcPr>
          <w:tcW w:w="2155" w:type="dxa"/>
          <w:tcBorders>
            <w:top w:val="single" w:sz="24" w:space="0" w:color="auto"/>
          </w:tcBorders>
        </w:tcPr>
        <w:p w14:paraId="39BE205E" w14:textId="77777777" w:rsidR="003950C5" w:rsidRDefault="003950C5" w:rsidP="006F2985">
          <w:pPr>
            <w:pStyle w:val="HeaderOdd"/>
          </w:pPr>
        </w:p>
      </w:tc>
    </w:tr>
  </w:tbl>
  <w:p w14:paraId="0756EED8" w14:textId="77777777" w:rsidR="003950C5" w:rsidRDefault="003950C5"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11BE" w14:textId="77777777" w:rsidR="008B060B" w:rsidRDefault="008B06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6" w:type="dxa"/>
      <w:tblLayout w:type="fixed"/>
      <w:tblCellMar>
        <w:left w:w="0" w:type="dxa"/>
        <w:right w:w="0" w:type="dxa"/>
      </w:tblCellMar>
      <w:tblLook w:val="0000" w:firstRow="0" w:lastRow="0" w:firstColumn="0" w:lastColumn="0" w:noHBand="0" w:noVBand="0"/>
    </w:tblPr>
    <w:tblGrid>
      <w:gridCol w:w="2240"/>
      <w:gridCol w:w="11366"/>
    </w:tblGrid>
    <w:tr w:rsidR="008C661F" w14:paraId="0D41135A" w14:textId="77777777" w:rsidTr="008753F9">
      <w:tc>
        <w:tcPr>
          <w:tcW w:w="2240" w:type="dxa"/>
          <w:tcBorders>
            <w:top w:val="single" w:sz="24" w:space="0" w:color="auto"/>
          </w:tcBorders>
        </w:tcPr>
        <w:p w14:paraId="2DB74866" w14:textId="77777777" w:rsidR="008C661F" w:rsidRDefault="008C661F" w:rsidP="006F2985">
          <w:pPr>
            <w:pStyle w:val="HeaderEven"/>
          </w:pPr>
        </w:p>
      </w:tc>
      <w:tc>
        <w:tcPr>
          <w:tcW w:w="11366" w:type="dxa"/>
          <w:tcBorders>
            <w:top w:val="single" w:sz="6" w:space="0" w:color="auto"/>
          </w:tcBorders>
        </w:tcPr>
        <w:p w14:paraId="6B614280" w14:textId="6D66EDA9" w:rsidR="008C661F" w:rsidRDefault="00D94D0A" w:rsidP="006F2985">
          <w:pPr>
            <w:pStyle w:val="HeaderEven"/>
          </w:pPr>
          <w:r>
            <w:tab/>
          </w:r>
        </w:p>
      </w:tc>
    </w:tr>
  </w:tbl>
  <w:p w14:paraId="14901813" w14:textId="77777777" w:rsidR="008C661F" w:rsidRDefault="008C661F" w:rsidP="0019293B">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F42B43" w14:paraId="66CA0915" w14:textId="77777777" w:rsidTr="00BC4FD6">
      <w:tc>
        <w:tcPr>
          <w:tcW w:w="11482" w:type="dxa"/>
          <w:tcBorders>
            <w:top w:val="single" w:sz="6" w:space="0" w:color="auto"/>
          </w:tcBorders>
        </w:tcPr>
        <w:p w14:paraId="43066632" w14:textId="77777777" w:rsidR="00F42B43" w:rsidRPr="00264CBA" w:rsidRDefault="00F42B43" w:rsidP="00F42B43">
          <w:pPr>
            <w:pStyle w:val="Header"/>
            <w:rPr>
              <w:rFonts w:cs="Arial"/>
            </w:rPr>
          </w:pPr>
        </w:p>
      </w:tc>
      <w:tc>
        <w:tcPr>
          <w:tcW w:w="2155" w:type="dxa"/>
          <w:tcBorders>
            <w:top w:val="single" w:sz="24" w:space="0" w:color="auto"/>
          </w:tcBorders>
        </w:tcPr>
        <w:p w14:paraId="678B51B2" w14:textId="77777777" w:rsidR="00F42B43" w:rsidRDefault="00F42B43" w:rsidP="00F42B43">
          <w:pPr>
            <w:pStyle w:val="HeaderOdd"/>
          </w:pPr>
        </w:p>
      </w:tc>
    </w:tr>
  </w:tbl>
  <w:p w14:paraId="2D33311C" w14:textId="77777777" w:rsidR="008C661F" w:rsidRDefault="008C661F" w:rsidP="00E669E2">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50C5" w14:paraId="586A1A05" w14:textId="77777777">
      <w:tc>
        <w:tcPr>
          <w:tcW w:w="2155" w:type="dxa"/>
          <w:tcBorders>
            <w:top w:val="single" w:sz="24" w:space="0" w:color="auto"/>
          </w:tcBorders>
        </w:tcPr>
        <w:p w14:paraId="23C88E82" w14:textId="77777777" w:rsidR="003950C5" w:rsidRDefault="003950C5" w:rsidP="0019293B">
          <w:pPr>
            <w:pStyle w:val="HeaderEven"/>
          </w:pPr>
        </w:p>
      </w:tc>
      <w:tc>
        <w:tcPr>
          <w:tcW w:w="6634" w:type="dxa"/>
          <w:tcBorders>
            <w:top w:val="single" w:sz="6" w:space="0" w:color="auto"/>
          </w:tcBorders>
        </w:tcPr>
        <w:p w14:paraId="600FC79F" w14:textId="59513332" w:rsidR="003950C5" w:rsidRDefault="00D94D0A" w:rsidP="00D94D0A">
          <w:pPr>
            <w:pStyle w:val="HeaderEven"/>
            <w:tabs>
              <w:tab w:val="left" w:pos="1470"/>
            </w:tabs>
          </w:pPr>
          <w:r>
            <w:tab/>
          </w:r>
        </w:p>
      </w:tc>
    </w:tr>
  </w:tbl>
  <w:p w14:paraId="797503EF" w14:textId="77777777" w:rsidR="003950C5" w:rsidRDefault="003950C5" w:rsidP="0019293B">
    <w:pPr>
      <w:pStyle w:val="HeaderEnd"/>
    </w:pPr>
  </w:p>
  <w:p w14:paraId="2243F2DB" w14:textId="77777777" w:rsidR="003950C5" w:rsidRDefault="003950C5" w:rsidP="0019293B">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50C5" w14:paraId="2DD93965" w14:textId="77777777">
      <w:tc>
        <w:tcPr>
          <w:tcW w:w="6634" w:type="dxa"/>
          <w:tcBorders>
            <w:top w:val="single" w:sz="6" w:space="0" w:color="auto"/>
          </w:tcBorders>
        </w:tcPr>
        <w:p w14:paraId="5F5E1089" w14:textId="20B84C3B" w:rsidR="003950C5" w:rsidRDefault="00D94D0A" w:rsidP="00E669E2">
          <w:pPr>
            <w:pStyle w:val="HeaderOdd"/>
          </w:pPr>
          <w:r>
            <w:tab/>
          </w:r>
        </w:p>
      </w:tc>
      <w:tc>
        <w:tcPr>
          <w:tcW w:w="2155" w:type="dxa"/>
          <w:tcBorders>
            <w:top w:val="single" w:sz="24" w:space="0" w:color="auto"/>
          </w:tcBorders>
        </w:tcPr>
        <w:p w14:paraId="36AD350E" w14:textId="77777777" w:rsidR="003950C5" w:rsidRDefault="003950C5" w:rsidP="00E669E2">
          <w:pPr>
            <w:pStyle w:val="HeaderOdd"/>
          </w:pPr>
        </w:p>
      </w:tc>
    </w:tr>
  </w:tbl>
  <w:p w14:paraId="017BB355" w14:textId="77777777" w:rsidR="003950C5" w:rsidRDefault="003950C5" w:rsidP="00E669E2">
    <w:pPr>
      <w:pStyle w:val="HeaderEnd"/>
    </w:pPr>
  </w:p>
  <w:p w14:paraId="6D9DF21C" w14:textId="77777777" w:rsidR="003950C5" w:rsidRDefault="003950C5"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B6E91"/>
    <w:multiLevelType w:val="hybridMultilevel"/>
    <w:tmpl w:val="E8DE1A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D6B5FCB"/>
    <w:multiLevelType w:val="hybridMultilevel"/>
    <w:tmpl w:val="7A22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843AAE"/>
    <w:multiLevelType w:val="hybridMultilevel"/>
    <w:tmpl w:val="3D6A597C"/>
    <w:lvl w:ilvl="0" w:tplc="165E7508">
      <w:start w:val="12"/>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16cid:durableId="60914095">
    <w:abstractNumId w:val="13"/>
  </w:num>
  <w:num w:numId="2" w16cid:durableId="1326785700">
    <w:abstractNumId w:val="3"/>
  </w:num>
  <w:num w:numId="3" w16cid:durableId="1417558613">
    <w:abstractNumId w:val="15"/>
  </w:num>
  <w:num w:numId="4" w16cid:durableId="1508597774">
    <w:abstractNumId w:val="5"/>
  </w:num>
  <w:num w:numId="5" w16cid:durableId="1114330124">
    <w:abstractNumId w:val="20"/>
  </w:num>
  <w:num w:numId="6" w16cid:durableId="583536094">
    <w:abstractNumId w:val="17"/>
  </w:num>
  <w:num w:numId="7" w16cid:durableId="1653751278">
    <w:abstractNumId w:val="9"/>
  </w:num>
  <w:num w:numId="8" w16cid:durableId="1750813070">
    <w:abstractNumId w:val="16"/>
  </w:num>
  <w:num w:numId="9" w16cid:durableId="809639480">
    <w:abstractNumId w:val="8"/>
  </w:num>
  <w:num w:numId="10" w16cid:durableId="1349017551">
    <w:abstractNumId w:val="7"/>
  </w:num>
  <w:num w:numId="11" w16cid:durableId="1349483570">
    <w:abstractNumId w:val="11"/>
  </w:num>
  <w:num w:numId="12" w16cid:durableId="1422028719">
    <w:abstractNumId w:val="12"/>
  </w:num>
  <w:num w:numId="13" w16cid:durableId="1679578733">
    <w:abstractNumId w:val="6"/>
  </w:num>
  <w:num w:numId="14" w16cid:durableId="875511223">
    <w:abstractNumId w:val="18"/>
  </w:num>
  <w:num w:numId="15" w16cid:durableId="1485511175">
    <w:abstractNumId w:val="22"/>
  </w:num>
  <w:num w:numId="16" w16cid:durableId="1417676446">
    <w:abstractNumId w:val="14"/>
  </w:num>
  <w:num w:numId="17" w16cid:durableId="1360468825">
    <w:abstractNumId w:val="24"/>
  </w:num>
  <w:num w:numId="18" w16cid:durableId="26369748">
    <w:abstractNumId w:val="0"/>
  </w:num>
  <w:num w:numId="19" w16cid:durableId="1999377405">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16cid:durableId="1087388919">
    <w:abstractNumId w:val="19"/>
  </w:num>
  <w:num w:numId="21" w16cid:durableId="1289316510">
    <w:abstractNumId w:val="10"/>
  </w:num>
  <w:num w:numId="22" w16cid:durableId="196435760">
    <w:abstractNumId w:val="21"/>
  </w:num>
  <w:num w:numId="23" w16cid:durableId="135489542">
    <w:abstractNumId w:val="23"/>
  </w:num>
  <w:num w:numId="24" w16cid:durableId="15667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5926167">
    <w:abstractNumId w:val="1"/>
  </w:num>
  <w:num w:numId="26" w16cid:durableId="1491486086">
    <w:abstractNumId w:val="13"/>
  </w:num>
  <w:num w:numId="27" w16cid:durableId="68193119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Housing interpretative material"/>
    <w:docVar w:name="ShortReportTitle" w:val="Report on Government Services 2020"/>
  </w:docVars>
  <w:rsids>
    <w:rsidRoot w:val="00651016"/>
    <w:rsid w:val="00003580"/>
    <w:rsid w:val="0000395A"/>
    <w:rsid w:val="00004700"/>
    <w:rsid w:val="00004AFE"/>
    <w:rsid w:val="00006601"/>
    <w:rsid w:val="00006823"/>
    <w:rsid w:val="000101CD"/>
    <w:rsid w:val="00010BD5"/>
    <w:rsid w:val="0001138F"/>
    <w:rsid w:val="00021EE0"/>
    <w:rsid w:val="000227D5"/>
    <w:rsid w:val="000238E4"/>
    <w:rsid w:val="00024123"/>
    <w:rsid w:val="000245AA"/>
    <w:rsid w:val="00024A71"/>
    <w:rsid w:val="000273A2"/>
    <w:rsid w:val="000305B0"/>
    <w:rsid w:val="0003293D"/>
    <w:rsid w:val="00034363"/>
    <w:rsid w:val="0003664B"/>
    <w:rsid w:val="00037906"/>
    <w:rsid w:val="00040091"/>
    <w:rsid w:val="0004111F"/>
    <w:rsid w:val="00042024"/>
    <w:rsid w:val="00042426"/>
    <w:rsid w:val="0004593F"/>
    <w:rsid w:val="00046BF2"/>
    <w:rsid w:val="00053DA0"/>
    <w:rsid w:val="00053FD6"/>
    <w:rsid w:val="000549CB"/>
    <w:rsid w:val="00054D79"/>
    <w:rsid w:val="00055077"/>
    <w:rsid w:val="00055A7A"/>
    <w:rsid w:val="00055DB8"/>
    <w:rsid w:val="000565B3"/>
    <w:rsid w:val="00060ABB"/>
    <w:rsid w:val="00060D89"/>
    <w:rsid w:val="00062A07"/>
    <w:rsid w:val="000635C2"/>
    <w:rsid w:val="00064AFE"/>
    <w:rsid w:val="00065985"/>
    <w:rsid w:val="00065C43"/>
    <w:rsid w:val="00066DD7"/>
    <w:rsid w:val="0007129C"/>
    <w:rsid w:val="0007150B"/>
    <w:rsid w:val="000734F6"/>
    <w:rsid w:val="000744ED"/>
    <w:rsid w:val="00076D45"/>
    <w:rsid w:val="0008127E"/>
    <w:rsid w:val="00082FBD"/>
    <w:rsid w:val="00083FBF"/>
    <w:rsid w:val="00084588"/>
    <w:rsid w:val="0009003C"/>
    <w:rsid w:val="00091189"/>
    <w:rsid w:val="000938F5"/>
    <w:rsid w:val="00095663"/>
    <w:rsid w:val="000963E3"/>
    <w:rsid w:val="00096A0D"/>
    <w:rsid w:val="00096E55"/>
    <w:rsid w:val="00096E90"/>
    <w:rsid w:val="0009783E"/>
    <w:rsid w:val="000A2664"/>
    <w:rsid w:val="000A3635"/>
    <w:rsid w:val="000B1022"/>
    <w:rsid w:val="000B1C22"/>
    <w:rsid w:val="000B27BB"/>
    <w:rsid w:val="000B32ED"/>
    <w:rsid w:val="000B5680"/>
    <w:rsid w:val="000B5AFE"/>
    <w:rsid w:val="000B601B"/>
    <w:rsid w:val="000B6A08"/>
    <w:rsid w:val="000C05DC"/>
    <w:rsid w:val="000C0B75"/>
    <w:rsid w:val="000C1F4F"/>
    <w:rsid w:val="000C207E"/>
    <w:rsid w:val="000C3AB6"/>
    <w:rsid w:val="000C3F59"/>
    <w:rsid w:val="000C446F"/>
    <w:rsid w:val="000C7088"/>
    <w:rsid w:val="000C7D74"/>
    <w:rsid w:val="000D0CDB"/>
    <w:rsid w:val="000D1C2C"/>
    <w:rsid w:val="000D1E71"/>
    <w:rsid w:val="000D2B6C"/>
    <w:rsid w:val="000D3C6E"/>
    <w:rsid w:val="000D41E9"/>
    <w:rsid w:val="000D6B92"/>
    <w:rsid w:val="000E1BCF"/>
    <w:rsid w:val="000E2C9A"/>
    <w:rsid w:val="000E78CF"/>
    <w:rsid w:val="000E7D46"/>
    <w:rsid w:val="000F0035"/>
    <w:rsid w:val="000F04E7"/>
    <w:rsid w:val="000F060A"/>
    <w:rsid w:val="000F357E"/>
    <w:rsid w:val="000F420B"/>
    <w:rsid w:val="000F539C"/>
    <w:rsid w:val="000F68A7"/>
    <w:rsid w:val="000F6A7B"/>
    <w:rsid w:val="00104E23"/>
    <w:rsid w:val="001058D7"/>
    <w:rsid w:val="00105D19"/>
    <w:rsid w:val="00110116"/>
    <w:rsid w:val="00110EAD"/>
    <w:rsid w:val="00112B2C"/>
    <w:rsid w:val="001135B4"/>
    <w:rsid w:val="00114329"/>
    <w:rsid w:val="00114F24"/>
    <w:rsid w:val="001156E8"/>
    <w:rsid w:val="00115F9F"/>
    <w:rsid w:val="00117315"/>
    <w:rsid w:val="00120072"/>
    <w:rsid w:val="001200EB"/>
    <w:rsid w:val="00120463"/>
    <w:rsid w:val="00126EB8"/>
    <w:rsid w:val="001274D4"/>
    <w:rsid w:val="0012794D"/>
    <w:rsid w:val="00130756"/>
    <w:rsid w:val="00130DB4"/>
    <w:rsid w:val="001360B7"/>
    <w:rsid w:val="001363AA"/>
    <w:rsid w:val="0013739A"/>
    <w:rsid w:val="00142165"/>
    <w:rsid w:val="0014449A"/>
    <w:rsid w:val="0015005A"/>
    <w:rsid w:val="001539F6"/>
    <w:rsid w:val="001605E4"/>
    <w:rsid w:val="00162434"/>
    <w:rsid w:val="00162E7B"/>
    <w:rsid w:val="00163001"/>
    <w:rsid w:val="0016476A"/>
    <w:rsid w:val="00166B3B"/>
    <w:rsid w:val="00166D72"/>
    <w:rsid w:val="00167B55"/>
    <w:rsid w:val="00167CC1"/>
    <w:rsid w:val="0017391A"/>
    <w:rsid w:val="00175441"/>
    <w:rsid w:val="00175FA9"/>
    <w:rsid w:val="00176FD2"/>
    <w:rsid w:val="00177237"/>
    <w:rsid w:val="0018050E"/>
    <w:rsid w:val="00180FA3"/>
    <w:rsid w:val="001825BF"/>
    <w:rsid w:val="00183A97"/>
    <w:rsid w:val="00183E82"/>
    <w:rsid w:val="00187772"/>
    <w:rsid w:val="001878BB"/>
    <w:rsid w:val="00191AE0"/>
    <w:rsid w:val="0019293B"/>
    <w:rsid w:val="001940EB"/>
    <w:rsid w:val="00194100"/>
    <w:rsid w:val="0019426B"/>
    <w:rsid w:val="0019479E"/>
    <w:rsid w:val="00195150"/>
    <w:rsid w:val="00195833"/>
    <w:rsid w:val="001962EC"/>
    <w:rsid w:val="001A1B3A"/>
    <w:rsid w:val="001A279F"/>
    <w:rsid w:val="001A5C71"/>
    <w:rsid w:val="001A6A4B"/>
    <w:rsid w:val="001A6FDD"/>
    <w:rsid w:val="001B153D"/>
    <w:rsid w:val="001B3694"/>
    <w:rsid w:val="001B45DC"/>
    <w:rsid w:val="001B4A62"/>
    <w:rsid w:val="001C0865"/>
    <w:rsid w:val="001C0AED"/>
    <w:rsid w:val="001C0B07"/>
    <w:rsid w:val="001C24B4"/>
    <w:rsid w:val="001C3ABA"/>
    <w:rsid w:val="001C5111"/>
    <w:rsid w:val="001C54E8"/>
    <w:rsid w:val="001C5A69"/>
    <w:rsid w:val="001C614D"/>
    <w:rsid w:val="001C61C0"/>
    <w:rsid w:val="001D302E"/>
    <w:rsid w:val="001D3392"/>
    <w:rsid w:val="001D3594"/>
    <w:rsid w:val="001D4509"/>
    <w:rsid w:val="001D458D"/>
    <w:rsid w:val="001D5C14"/>
    <w:rsid w:val="001D7715"/>
    <w:rsid w:val="001D7A20"/>
    <w:rsid w:val="001E523D"/>
    <w:rsid w:val="001E5F98"/>
    <w:rsid w:val="001E7BE8"/>
    <w:rsid w:val="001F0136"/>
    <w:rsid w:val="001F0248"/>
    <w:rsid w:val="001F0339"/>
    <w:rsid w:val="001F152C"/>
    <w:rsid w:val="001F3EB3"/>
    <w:rsid w:val="001F4F86"/>
    <w:rsid w:val="001F66D6"/>
    <w:rsid w:val="00202AFA"/>
    <w:rsid w:val="00202C2C"/>
    <w:rsid w:val="00203050"/>
    <w:rsid w:val="00204049"/>
    <w:rsid w:val="0020464E"/>
    <w:rsid w:val="00205130"/>
    <w:rsid w:val="002060E3"/>
    <w:rsid w:val="0020653F"/>
    <w:rsid w:val="00206AEC"/>
    <w:rsid w:val="00206C8D"/>
    <w:rsid w:val="002135AB"/>
    <w:rsid w:val="002144BE"/>
    <w:rsid w:val="0021769C"/>
    <w:rsid w:val="00217A04"/>
    <w:rsid w:val="00220B88"/>
    <w:rsid w:val="002249D4"/>
    <w:rsid w:val="002320B8"/>
    <w:rsid w:val="00232C69"/>
    <w:rsid w:val="00232E2C"/>
    <w:rsid w:val="00234B92"/>
    <w:rsid w:val="00235249"/>
    <w:rsid w:val="0023644A"/>
    <w:rsid w:val="00237860"/>
    <w:rsid w:val="00241028"/>
    <w:rsid w:val="00242279"/>
    <w:rsid w:val="00243997"/>
    <w:rsid w:val="0024516C"/>
    <w:rsid w:val="00245428"/>
    <w:rsid w:val="0024556F"/>
    <w:rsid w:val="00245C82"/>
    <w:rsid w:val="002517AB"/>
    <w:rsid w:val="00251A73"/>
    <w:rsid w:val="00252D80"/>
    <w:rsid w:val="00256D62"/>
    <w:rsid w:val="00257F29"/>
    <w:rsid w:val="00257FAA"/>
    <w:rsid w:val="002608DE"/>
    <w:rsid w:val="00261F8E"/>
    <w:rsid w:val="00262050"/>
    <w:rsid w:val="00264157"/>
    <w:rsid w:val="00264809"/>
    <w:rsid w:val="00265F7C"/>
    <w:rsid w:val="00271E9D"/>
    <w:rsid w:val="002724BA"/>
    <w:rsid w:val="002749CC"/>
    <w:rsid w:val="00275A0D"/>
    <w:rsid w:val="00276025"/>
    <w:rsid w:val="00276721"/>
    <w:rsid w:val="00277FCA"/>
    <w:rsid w:val="00280B13"/>
    <w:rsid w:val="00285F34"/>
    <w:rsid w:val="0028656D"/>
    <w:rsid w:val="00291B40"/>
    <w:rsid w:val="002927D5"/>
    <w:rsid w:val="00294D37"/>
    <w:rsid w:val="00294F76"/>
    <w:rsid w:val="002960B2"/>
    <w:rsid w:val="002A5081"/>
    <w:rsid w:val="002B1B52"/>
    <w:rsid w:val="002B350D"/>
    <w:rsid w:val="002B3EFE"/>
    <w:rsid w:val="002B4008"/>
    <w:rsid w:val="002B5169"/>
    <w:rsid w:val="002B6FDC"/>
    <w:rsid w:val="002B78F6"/>
    <w:rsid w:val="002B7932"/>
    <w:rsid w:val="002C0055"/>
    <w:rsid w:val="002C2EB1"/>
    <w:rsid w:val="002C439F"/>
    <w:rsid w:val="002C44F1"/>
    <w:rsid w:val="002C5A8C"/>
    <w:rsid w:val="002C6BBC"/>
    <w:rsid w:val="002C7BF2"/>
    <w:rsid w:val="002D0C42"/>
    <w:rsid w:val="002D0D00"/>
    <w:rsid w:val="002D0E8E"/>
    <w:rsid w:val="002D0F0F"/>
    <w:rsid w:val="002D205C"/>
    <w:rsid w:val="002D2834"/>
    <w:rsid w:val="002D3EA3"/>
    <w:rsid w:val="002D7017"/>
    <w:rsid w:val="002D78D1"/>
    <w:rsid w:val="002E0D26"/>
    <w:rsid w:val="002E1FA8"/>
    <w:rsid w:val="002E5455"/>
    <w:rsid w:val="002E5674"/>
    <w:rsid w:val="002E57CE"/>
    <w:rsid w:val="002E7A87"/>
    <w:rsid w:val="002F3129"/>
    <w:rsid w:val="002F694E"/>
    <w:rsid w:val="002F6AAA"/>
    <w:rsid w:val="002F725B"/>
    <w:rsid w:val="0030079A"/>
    <w:rsid w:val="00301189"/>
    <w:rsid w:val="00301433"/>
    <w:rsid w:val="00301E4A"/>
    <w:rsid w:val="00302005"/>
    <w:rsid w:val="00304B77"/>
    <w:rsid w:val="00304CF1"/>
    <w:rsid w:val="0030789B"/>
    <w:rsid w:val="00311E96"/>
    <w:rsid w:val="0031255D"/>
    <w:rsid w:val="00315A0C"/>
    <w:rsid w:val="003168B8"/>
    <w:rsid w:val="003201A4"/>
    <w:rsid w:val="003211A2"/>
    <w:rsid w:val="00322D64"/>
    <w:rsid w:val="00322E03"/>
    <w:rsid w:val="00323E09"/>
    <w:rsid w:val="00324374"/>
    <w:rsid w:val="00325D4C"/>
    <w:rsid w:val="00325E72"/>
    <w:rsid w:val="0032771F"/>
    <w:rsid w:val="003323EC"/>
    <w:rsid w:val="00333932"/>
    <w:rsid w:val="00333F3F"/>
    <w:rsid w:val="0033402F"/>
    <w:rsid w:val="00334670"/>
    <w:rsid w:val="003349B8"/>
    <w:rsid w:val="003376B0"/>
    <w:rsid w:val="00340C53"/>
    <w:rsid w:val="00342EB1"/>
    <w:rsid w:val="00343D7D"/>
    <w:rsid w:val="0034592C"/>
    <w:rsid w:val="00345B79"/>
    <w:rsid w:val="00347C0A"/>
    <w:rsid w:val="00350ED8"/>
    <w:rsid w:val="00350F3A"/>
    <w:rsid w:val="003518AA"/>
    <w:rsid w:val="00352165"/>
    <w:rsid w:val="00352F9A"/>
    <w:rsid w:val="00353182"/>
    <w:rsid w:val="00355E3C"/>
    <w:rsid w:val="00355FCF"/>
    <w:rsid w:val="003565D9"/>
    <w:rsid w:val="00357D37"/>
    <w:rsid w:val="0036007A"/>
    <w:rsid w:val="003602E1"/>
    <w:rsid w:val="00360576"/>
    <w:rsid w:val="00360973"/>
    <w:rsid w:val="00361A0E"/>
    <w:rsid w:val="00361EEF"/>
    <w:rsid w:val="00364CBB"/>
    <w:rsid w:val="00366783"/>
    <w:rsid w:val="00367FB9"/>
    <w:rsid w:val="0037026F"/>
    <w:rsid w:val="00370980"/>
    <w:rsid w:val="00370AF2"/>
    <w:rsid w:val="00371240"/>
    <w:rsid w:val="003715BB"/>
    <w:rsid w:val="00371971"/>
    <w:rsid w:val="00373852"/>
    <w:rsid w:val="00374573"/>
    <w:rsid w:val="00374731"/>
    <w:rsid w:val="0037524E"/>
    <w:rsid w:val="0037603D"/>
    <w:rsid w:val="0037684D"/>
    <w:rsid w:val="00376E59"/>
    <w:rsid w:val="0037743A"/>
    <w:rsid w:val="003777F2"/>
    <w:rsid w:val="00377EC1"/>
    <w:rsid w:val="00380340"/>
    <w:rsid w:val="00383396"/>
    <w:rsid w:val="00384F0E"/>
    <w:rsid w:val="00385FA8"/>
    <w:rsid w:val="00387847"/>
    <w:rsid w:val="00391379"/>
    <w:rsid w:val="003919F9"/>
    <w:rsid w:val="003920CF"/>
    <w:rsid w:val="0039292B"/>
    <w:rsid w:val="0039452B"/>
    <w:rsid w:val="0039474C"/>
    <w:rsid w:val="003950C5"/>
    <w:rsid w:val="003950E8"/>
    <w:rsid w:val="00395204"/>
    <w:rsid w:val="00397D64"/>
    <w:rsid w:val="003A0BC4"/>
    <w:rsid w:val="003A385C"/>
    <w:rsid w:val="003A3B23"/>
    <w:rsid w:val="003A58D2"/>
    <w:rsid w:val="003A6768"/>
    <w:rsid w:val="003A69C6"/>
    <w:rsid w:val="003B1C86"/>
    <w:rsid w:val="003B1F66"/>
    <w:rsid w:val="003B23C2"/>
    <w:rsid w:val="003B26DC"/>
    <w:rsid w:val="003B51B0"/>
    <w:rsid w:val="003C170B"/>
    <w:rsid w:val="003C38B5"/>
    <w:rsid w:val="003C4A55"/>
    <w:rsid w:val="003C54B9"/>
    <w:rsid w:val="003C5D99"/>
    <w:rsid w:val="003C6B2C"/>
    <w:rsid w:val="003C71B7"/>
    <w:rsid w:val="003C793B"/>
    <w:rsid w:val="003D09D1"/>
    <w:rsid w:val="003D0A46"/>
    <w:rsid w:val="003D1087"/>
    <w:rsid w:val="003D30F8"/>
    <w:rsid w:val="003D40B2"/>
    <w:rsid w:val="003D5E30"/>
    <w:rsid w:val="003D60E2"/>
    <w:rsid w:val="003E02FD"/>
    <w:rsid w:val="003E2533"/>
    <w:rsid w:val="003E28A0"/>
    <w:rsid w:val="003E2F59"/>
    <w:rsid w:val="003E3170"/>
    <w:rsid w:val="003E7126"/>
    <w:rsid w:val="003E746B"/>
    <w:rsid w:val="003F0789"/>
    <w:rsid w:val="003F12F9"/>
    <w:rsid w:val="003F3C4D"/>
    <w:rsid w:val="003F5C3D"/>
    <w:rsid w:val="003F6BE0"/>
    <w:rsid w:val="00401882"/>
    <w:rsid w:val="00402B70"/>
    <w:rsid w:val="004071FB"/>
    <w:rsid w:val="004100C8"/>
    <w:rsid w:val="0041145C"/>
    <w:rsid w:val="00411DBD"/>
    <w:rsid w:val="00412ACE"/>
    <w:rsid w:val="00412E71"/>
    <w:rsid w:val="00414467"/>
    <w:rsid w:val="004145D2"/>
    <w:rsid w:val="0041524E"/>
    <w:rsid w:val="00425128"/>
    <w:rsid w:val="00426111"/>
    <w:rsid w:val="00426CB4"/>
    <w:rsid w:val="004271DC"/>
    <w:rsid w:val="00431249"/>
    <w:rsid w:val="004320E3"/>
    <w:rsid w:val="004340CE"/>
    <w:rsid w:val="0043436C"/>
    <w:rsid w:val="00434C19"/>
    <w:rsid w:val="00436186"/>
    <w:rsid w:val="00440F46"/>
    <w:rsid w:val="0044255B"/>
    <w:rsid w:val="004425C2"/>
    <w:rsid w:val="00443DD4"/>
    <w:rsid w:val="0044614F"/>
    <w:rsid w:val="00450810"/>
    <w:rsid w:val="00450D4C"/>
    <w:rsid w:val="0045105D"/>
    <w:rsid w:val="00451A5D"/>
    <w:rsid w:val="00451F18"/>
    <w:rsid w:val="004539A9"/>
    <w:rsid w:val="004549DB"/>
    <w:rsid w:val="004553D3"/>
    <w:rsid w:val="00460B32"/>
    <w:rsid w:val="00460F20"/>
    <w:rsid w:val="00462C59"/>
    <w:rsid w:val="0046586E"/>
    <w:rsid w:val="004663B9"/>
    <w:rsid w:val="00470737"/>
    <w:rsid w:val="00472593"/>
    <w:rsid w:val="00476318"/>
    <w:rsid w:val="00477144"/>
    <w:rsid w:val="004773EF"/>
    <w:rsid w:val="0048506E"/>
    <w:rsid w:val="004861BD"/>
    <w:rsid w:val="00491380"/>
    <w:rsid w:val="0049459F"/>
    <w:rsid w:val="004948C8"/>
    <w:rsid w:val="00494996"/>
    <w:rsid w:val="00495DF1"/>
    <w:rsid w:val="004A17D4"/>
    <w:rsid w:val="004A21F0"/>
    <w:rsid w:val="004A38DD"/>
    <w:rsid w:val="004A42F7"/>
    <w:rsid w:val="004B2A15"/>
    <w:rsid w:val="004B43AE"/>
    <w:rsid w:val="004B4D59"/>
    <w:rsid w:val="004C2F3E"/>
    <w:rsid w:val="004C30ED"/>
    <w:rsid w:val="004C48F1"/>
    <w:rsid w:val="004C500A"/>
    <w:rsid w:val="004C67FB"/>
    <w:rsid w:val="004D3F25"/>
    <w:rsid w:val="004D5675"/>
    <w:rsid w:val="004E2BA9"/>
    <w:rsid w:val="004E4AB8"/>
    <w:rsid w:val="004E6920"/>
    <w:rsid w:val="004E7E86"/>
    <w:rsid w:val="004F1E16"/>
    <w:rsid w:val="004F1EBB"/>
    <w:rsid w:val="004F4F8B"/>
    <w:rsid w:val="00502AF4"/>
    <w:rsid w:val="00503901"/>
    <w:rsid w:val="0050415F"/>
    <w:rsid w:val="00504557"/>
    <w:rsid w:val="00504673"/>
    <w:rsid w:val="005053AF"/>
    <w:rsid w:val="00507E5F"/>
    <w:rsid w:val="005110CF"/>
    <w:rsid w:val="0051306E"/>
    <w:rsid w:val="00514351"/>
    <w:rsid w:val="00514E77"/>
    <w:rsid w:val="00516F8D"/>
    <w:rsid w:val="00517795"/>
    <w:rsid w:val="005214F2"/>
    <w:rsid w:val="005231E3"/>
    <w:rsid w:val="00523639"/>
    <w:rsid w:val="005264E1"/>
    <w:rsid w:val="005268FF"/>
    <w:rsid w:val="00530E6A"/>
    <w:rsid w:val="00531FE5"/>
    <w:rsid w:val="0053361E"/>
    <w:rsid w:val="0053393B"/>
    <w:rsid w:val="0053407F"/>
    <w:rsid w:val="00536344"/>
    <w:rsid w:val="00537B35"/>
    <w:rsid w:val="005402FA"/>
    <w:rsid w:val="00541E1A"/>
    <w:rsid w:val="0054226A"/>
    <w:rsid w:val="00550812"/>
    <w:rsid w:val="00551BC8"/>
    <w:rsid w:val="00552105"/>
    <w:rsid w:val="00552337"/>
    <w:rsid w:val="005524BB"/>
    <w:rsid w:val="00552AD2"/>
    <w:rsid w:val="005568BE"/>
    <w:rsid w:val="00557A0F"/>
    <w:rsid w:val="00560025"/>
    <w:rsid w:val="005608CF"/>
    <w:rsid w:val="0056118C"/>
    <w:rsid w:val="00562B56"/>
    <w:rsid w:val="00562DF2"/>
    <w:rsid w:val="0056652C"/>
    <w:rsid w:val="005704FB"/>
    <w:rsid w:val="00571AEE"/>
    <w:rsid w:val="005727D4"/>
    <w:rsid w:val="005729BD"/>
    <w:rsid w:val="00573437"/>
    <w:rsid w:val="0057385E"/>
    <w:rsid w:val="00573BE3"/>
    <w:rsid w:val="005760C1"/>
    <w:rsid w:val="005763BA"/>
    <w:rsid w:val="00580154"/>
    <w:rsid w:val="00581B27"/>
    <w:rsid w:val="00582D09"/>
    <w:rsid w:val="00583318"/>
    <w:rsid w:val="00583C39"/>
    <w:rsid w:val="00586A90"/>
    <w:rsid w:val="00587F28"/>
    <w:rsid w:val="005901DD"/>
    <w:rsid w:val="005909CF"/>
    <w:rsid w:val="005911FB"/>
    <w:rsid w:val="00591E71"/>
    <w:rsid w:val="0059240F"/>
    <w:rsid w:val="00592BFB"/>
    <w:rsid w:val="005930CC"/>
    <w:rsid w:val="00593365"/>
    <w:rsid w:val="005949F6"/>
    <w:rsid w:val="005A0D41"/>
    <w:rsid w:val="005A3417"/>
    <w:rsid w:val="005A4864"/>
    <w:rsid w:val="005A7DCE"/>
    <w:rsid w:val="005B0A75"/>
    <w:rsid w:val="005B1110"/>
    <w:rsid w:val="005B2CBB"/>
    <w:rsid w:val="005C12D1"/>
    <w:rsid w:val="005C1A0F"/>
    <w:rsid w:val="005C1C0D"/>
    <w:rsid w:val="005C2E50"/>
    <w:rsid w:val="005C4E16"/>
    <w:rsid w:val="005C5951"/>
    <w:rsid w:val="005C6319"/>
    <w:rsid w:val="005D03FA"/>
    <w:rsid w:val="005D20B8"/>
    <w:rsid w:val="005D329F"/>
    <w:rsid w:val="005D3D41"/>
    <w:rsid w:val="005D6510"/>
    <w:rsid w:val="005D6EF0"/>
    <w:rsid w:val="005E1E87"/>
    <w:rsid w:val="005E3601"/>
    <w:rsid w:val="005E4403"/>
    <w:rsid w:val="005E4A75"/>
    <w:rsid w:val="005E594C"/>
    <w:rsid w:val="005E60A4"/>
    <w:rsid w:val="005E7A54"/>
    <w:rsid w:val="005F1C01"/>
    <w:rsid w:val="005F2573"/>
    <w:rsid w:val="005F3E54"/>
    <w:rsid w:val="005F3EF8"/>
    <w:rsid w:val="005F48ED"/>
    <w:rsid w:val="005F4E4F"/>
    <w:rsid w:val="00600C80"/>
    <w:rsid w:val="00604C4B"/>
    <w:rsid w:val="00605FE2"/>
    <w:rsid w:val="00606A9F"/>
    <w:rsid w:val="00606E78"/>
    <w:rsid w:val="00607436"/>
    <w:rsid w:val="00607BF1"/>
    <w:rsid w:val="00613041"/>
    <w:rsid w:val="0061318B"/>
    <w:rsid w:val="0061356D"/>
    <w:rsid w:val="00613A79"/>
    <w:rsid w:val="00613CE6"/>
    <w:rsid w:val="00613D19"/>
    <w:rsid w:val="006145A2"/>
    <w:rsid w:val="00615A8A"/>
    <w:rsid w:val="00616359"/>
    <w:rsid w:val="006170FD"/>
    <w:rsid w:val="006208A2"/>
    <w:rsid w:val="00621132"/>
    <w:rsid w:val="00622088"/>
    <w:rsid w:val="0062616E"/>
    <w:rsid w:val="0063003D"/>
    <w:rsid w:val="00630D4D"/>
    <w:rsid w:val="00631B0B"/>
    <w:rsid w:val="00632A74"/>
    <w:rsid w:val="00633083"/>
    <w:rsid w:val="006331C4"/>
    <w:rsid w:val="006362A9"/>
    <w:rsid w:val="00637177"/>
    <w:rsid w:val="0063762C"/>
    <w:rsid w:val="006405C4"/>
    <w:rsid w:val="00642E9E"/>
    <w:rsid w:val="006477B9"/>
    <w:rsid w:val="00651016"/>
    <w:rsid w:val="00653281"/>
    <w:rsid w:val="006545E6"/>
    <w:rsid w:val="00654D42"/>
    <w:rsid w:val="00660A0C"/>
    <w:rsid w:val="00666E02"/>
    <w:rsid w:val="00677FD3"/>
    <w:rsid w:val="006807DA"/>
    <w:rsid w:val="00680941"/>
    <w:rsid w:val="00682E3B"/>
    <w:rsid w:val="00684F06"/>
    <w:rsid w:val="006911B2"/>
    <w:rsid w:val="0069418C"/>
    <w:rsid w:val="0069445A"/>
    <w:rsid w:val="00694D5F"/>
    <w:rsid w:val="0069668B"/>
    <w:rsid w:val="00697305"/>
    <w:rsid w:val="006A0004"/>
    <w:rsid w:val="006A057B"/>
    <w:rsid w:val="006A4655"/>
    <w:rsid w:val="006A7758"/>
    <w:rsid w:val="006B095B"/>
    <w:rsid w:val="006B2B3C"/>
    <w:rsid w:val="006B2D24"/>
    <w:rsid w:val="006B34B0"/>
    <w:rsid w:val="006B42D5"/>
    <w:rsid w:val="006B4327"/>
    <w:rsid w:val="006B75F9"/>
    <w:rsid w:val="006B7883"/>
    <w:rsid w:val="006C1D81"/>
    <w:rsid w:val="006C248D"/>
    <w:rsid w:val="006C318E"/>
    <w:rsid w:val="006C3877"/>
    <w:rsid w:val="006C5D3D"/>
    <w:rsid w:val="006C7038"/>
    <w:rsid w:val="006D2614"/>
    <w:rsid w:val="006D2808"/>
    <w:rsid w:val="006D5DF3"/>
    <w:rsid w:val="006E1A0B"/>
    <w:rsid w:val="006E3DA8"/>
    <w:rsid w:val="006E4353"/>
    <w:rsid w:val="006E7339"/>
    <w:rsid w:val="006E73EF"/>
    <w:rsid w:val="006E7434"/>
    <w:rsid w:val="006F0AF7"/>
    <w:rsid w:val="006F0EE5"/>
    <w:rsid w:val="006F2475"/>
    <w:rsid w:val="006F2985"/>
    <w:rsid w:val="006F4E94"/>
    <w:rsid w:val="006F4EC5"/>
    <w:rsid w:val="00702C89"/>
    <w:rsid w:val="00703D68"/>
    <w:rsid w:val="00704DCD"/>
    <w:rsid w:val="0070613C"/>
    <w:rsid w:val="007079C9"/>
    <w:rsid w:val="00710B94"/>
    <w:rsid w:val="0071111E"/>
    <w:rsid w:val="00714046"/>
    <w:rsid w:val="0071484E"/>
    <w:rsid w:val="00714D4D"/>
    <w:rsid w:val="00715222"/>
    <w:rsid w:val="007172C6"/>
    <w:rsid w:val="007227BE"/>
    <w:rsid w:val="00722A03"/>
    <w:rsid w:val="007266D3"/>
    <w:rsid w:val="00732029"/>
    <w:rsid w:val="00732B32"/>
    <w:rsid w:val="00733EEF"/>
    <w:rsid w:val="00742157"/>
    <w:rsid w:val="00742D1C"/>
    <w:rsid w:val="0074554C"/>
    <w:rsid w:val="0074555F"/>
    <w:rsid w:val="007503F4"/>
    <w:rsid w:val="00751747"/>
    <w:rsid w:val="007520EF"/>
    <w:rsid w:val="00753ADF"/>
    <w:rsid w:val="00754C06"/>
    <w:rsid w:val="007602E9"/>
    <w:rsid w:val="007604BB"/>
    <w:rsid w:val="00762FC6"/>
    <w:rsid w:val="00763D8D"/>
    <w:rsid w:val="00766980"/>
    <w:rsid w:val="007675E9"/>
    <w:rsid w:val="00772909"/>
    <w:rsid w:val="00772E00"/>
    <w:rsid w:val="007747DC"/>
    <w:rsid w:val="0077682E"/>
    <w:rsid w:val="00777957"/>
    <w:rsid w:val="007801F8"/>
    <w:rsid w:val="00780995"/>
    <w:rsid w:val="00781DFA"/>
    <w:rsid w:val="0078418F"/>
    <w:rsid w:val="00785232"/>
    <w:rsid w:val="00787641"/>
    <w:rsid w:val="00790224"/>
    <w:rsid w:val="00791429"/>
    <w:rsid w:val="007950CA"/>
    <w:rsid w:val="00796B12"/>
    <w:rsid w:val="00796CD9"/>
    <w:rsid w:val="0079701E"/>
    <w:rsid w:val="007A0F17"/>
    <w:rsid w:val="007A1386"/>
    <w:rsid w:val="007A14F9"/>
    <w:rsid w:val="007A1940"/>
    <w:rsid w:val="007A1E7A"/>
    <w:rsid w:val="007A21EB"/>
    <w:rsid w:val="007A428D"/>
    <w:rsid w:val="007A6BFB"/>
    <w:rsid w:val="007B0C95"/>
    <w:rsid w:val="007B163D"/>
    <w:rsid w:val="007B1A93"/>
    <w:rsid w:val="007B2851"/>
    <w:rsid w:val="007B2878"/>
    <w:rsid w:val="007B3ECB"/>
    <w:rsid w:val="007B532E"/>
    <w:rsid w:val="007B5D9A"/>
    <w:rsid w:val="007B7519"/>
    <w:rsid w:val="007C0F8E"/>
    <w:rsid w:val="007C1312"/>
    <w:rsid w:val="007C325E"/>
    <w:rsid w:val="007C35FE"/>
    <w:rsid w:val="007C36C9"/>
    <w:rsid w:val="007C7DA9"/>
    <w:rsid w:val="007D1265"/>
    <w:rsid w:val="007D5419"/>
    <w:rsid w:val="007D6401"/>
    <w:rsid w:val="007D6BA8"/>
    <w:rsid w:val="007E01E4"/>
    <w:rsid w:val="007E07BF"/>
    <w:rsid w:val="007E1128"/>
    <w:rsid w:val="007E1646"/>
    <w:rsid w:val="007E1A27"/>
    <w:rsid w:val="007E2F46"/>
    <w:rsid w:val="007E304B"/>
    <w:rsid w:val="007E77A2"/>
    <w:rsid w:val="007E7806"/>
    <w:rsid w:val="007E7A12"/>
    <w:rsid w:val="007F3913"/>
    <w:rsid w:val="007F3A38"/>
    <w:rsid w:val="007F7107"/>
    <w:rsid w:val="007F7438"/>
    <w:rsid w:val="00800D4C"/>
    <w:rsid w:val="00801217"/>
    <w:rsid w:val="008013BB"/>
    <w:rsid w:val="00802326"/>
    <w:rsid w:val="008042A6"/>
    <w:rsid w:val="00806CC5"/>
    <w:rsid w:val="008100C3"/>
    <w:rsid w:val="0081030F"/>
    <w:rsid w:val="00811008"/>
    <w:rsid w:val="0081157A"/>
    <w:rsid w:val="00812F4A"/>
    <w:rsid w:val="008142DA"/>
    <w:rsid w:val="00815B7D"/>
    <w:rsid w:val="0082087D"/>
    <w:rsid w:val="00825CAD"/>
    <w:rsid w:val="008275AF"/>
    <w:rsid w:val="00832527"/>
    <w:rsid w:val="008336FA"/>
    <w:rsid w:val="008356EE"/>
    <w:rsid w:val="00835771"/>
    <w:rsid w:val="00840FF1"/>
    <w:rsid w:val="00842933"/>
    <w:rsid w:val="00845342"/>
    <w:rsid w:val="008465EF"/>
    <w:rsid w:val="00850363"/>
    <w:rsid w:val="00850418"/>
    <w:rsid w:val="0085171E"/>
    <w:rsid w:val="00853437"/>
    <w:rsid w:val="00853B3E"/>
    <w:rsid w:val="00853E9D"/>
    <w:rsid w:val="00856946"/>
    <w:rsid w:val="00856952"/>
    <w:rsid w:val="0086082C"/>
    <w:rsid w:val="0086382C"/>
    <w:rsid w:val="00864ADC"/>
    <w:rsid w:val="008664E6"/>
    <w:rsid w:val="00870632"/>
    <w:rsid w:val="00871F78"/>
    <w:rsid w:val="00872FEB"/>
    <w:rsid w:val="00873021"/>
    <w:rsid w:val="00874D5D"/>
    <w:rsid w:val="008753F9"/>
    <w:rsid w:val="00875B4A"/>
    <w:rsid w:val="00876A95"/>
    <w:rsid w:val="00877151"/>
    <w:rsid w:val="008776BB"/>
    <w:rsid w:val="00880153"/>
    <w:rsid w:val="00880F97"/>
    <w:rsid w:val="0088133A"/>
    <w:rsid w:val="008836F5"/>
    <w:rsid w:val="008860F7"/>
    <w:rsid w:val="00891C15"/>
    <w:rsid w:val="0089285E"/>
    <w:rsid w:val="00892C0F"/>
    <w:rsid w:val="0089436C"/>
    <w:rsid w:val="0089490A"/>
    <w:rsid w:val="00895E10"/>
    <w:rsid w:val="008A0C29"/>
    <w:rsid w:val="008A397D"/>
    <w:rsid w:val="008A4627"/>
    <w:rsid w:val="008A51E7"/>
    <w:rsid w:val="008A57F3"/>
    <w:rsid w:val="008A5D66"/>
    <w:rsid w:val="008A6E02"/>
    <w:rsid w:val="008B060B"/>
    <w:rsid w:val="008B1533"/>
    <w:rsid w:val="008B2194"/>
    <w:rsid w:val="008B2D25"/>
    <w:rsid w:val="008B3F0C"/>
    <w:rsid w:val="008C661F"/>
    <w:rsid w:val="008C6BEF"/>
    <w:rsid w:val="008C75A2"/>
    <w:rsid w:val="008D2C6A"/>
    <w:rsid w:val="008D365C"/>
    <w:rsid w:val="008D48A0"/>
    <w:rsid w:val="008D6A24"/>
    <w:rsid w:val="008D7120"/>
    <w:rsid w:val="008D7622"/>
    <w:rsid w:val="008E00D2"/>
    <w:rsid w:val="008E01C5"/>
    <w:rsid w:val="008E0D3A"/>
    <w:rsid w:val="008E0D8F"/>
    <w:rsid w:val="008E245D"/>
    <w:rsid w:val="008E39C2"/>
    <w:rsid w:val="008F15BB"/>
    <w:rsid w:val="008F1CC4"/>
    <w:rsid w:val="008F50D8"/>
    <w:rsid w:val="008F61D2"/>
    <w:rsid w:val="008F6FF5"/>
    <w:rsid w:val="00901032"/>
    <w:rsid w:val="00901418"/>
    <w:rsid w:val="009021A6"/>
    <w:rsid w:val="009021B0"/>
    <w:rsid w:val="00902648"/>
    <w:rsid w:val="009030BF"/>
    <w:rsid w:val="00903B52"/>
    <w:rsid w:val="0090567C"/>
    <w:rsid w:val="00907654"/>
    <w:rsid w:val="00907D25"/>
    <w:rsid w:val="0091032F"/>
    <w:rsid w:val="00911B99"/>
    <w:rsid w:val="00914368"/>
    <w:rsid w:val="009150D1"/>
    <w:rsid w:val="00915269"/>
    <w:rsid w:val="00915998"/>
    <w:rsid w:val="009169A3"/>
    <w:rsid w:val="00924988"/>
    <w:rsid w:val="009253AC"/>
    <w:rsid w:val="0092707D"/>
    <w:rsid w:val="00931076"/>
    <w:rsid w:val="009312E9"/>
    <w:rsid w:val="009345D9"/>
    <w:rsid w:val="00934B15"/>
    <w:rsid w:val="009371EE"/>
    <w:rsid w:val="00940C87"/>
    <w:rsid w:val="009429BA"/>
    <w:rsid w:val="00942B62"/>
    <w:rsid w:val="00944839"/>
    <w:rsid w:val="00944FC0"/>
    <w:rsid w:val="0094614C"/>
    <w:rsid w:val="00950FE6"/>
    <w:rsid w:val="00952B03"/>
    <w:rsid w:val="0095323B"/>
    <w:rsid w:val="00956A0C"/>
    <w:rsid w:val="00956BD9"/>
    <w:rsid w:val="00960555"/>
    <w:rsid w:val="009608F7"/>
    <w:rsid w:val="009618E1"/>
    <w:rsid w:val="00962489"/>
    <w:rsid w:val="0096473D"/>
    <w:rsid w:val="009679DB"/>
    <w:rsid w:val="00967CD3"/>
    <w:rsid w:val="00970AAA"/>
    <w:rsid w:val="00971953"/>
    <w:rsid w:val="00973530"/>
    <w:rsid w:val="00977351"/>
    <w:rsid w:val="00982443"/>
    <w:rsid w:val="0098277E"/>
    <w:rsid w:val="00982D80"/>
    <w:rsid w:val="00987BF5"/>
    <w:rsid w:val="00990C2C"/>
    <w:rsid w:val="00994AA7"/>
    <w:rsid w:val="009952F4"/>
    <w:rsid w:val="00997419"/>
    <w:rsid w:val="00997A7E"/>
    <w:rsid w:val="009A11D1"/>
    <w:rsid w:val="009A43E4"/>
    <w:rsid w:val="009A5171"/>
    <w:rsid w:val="009A64A6"/>
    <w:rsid w:val="009B0A36"/>
    <w:rsid w:val="009C11C3"/>
    <w:rsid w:val="009C1C34"/>
    <w:rsid w:val="009C2B10"/>
    <w:rsid w:val="009C2E1C"/>
    <w:rsid w:val="009C4505"/>
    <w:rsid w:val="009C66B7"/>
    <w:rsid w:val="009D09BD"/>
    <w:rsid w:val="009D0D13"/>
    <w:rsid w:val="009D2B85"/>
    <w:rsid w:val="009D32BD"/>
    <w:rsid w:val="009D3BBE"/>
    <w:rsid w:val="009D5023"/>
    <w:rsid w:val="009E0B8A"/>
    <w:rsid w:val="009E0D8E"/>
    <w:rsid w:val="009E1844"/>
    <w:rsid w:val="009E1FE2"/>
    <w:rsid w:val="009E6D0C"/>
    <w:rsid w:val="009E6F57"/>
    <w:rsid w:val="009E70AD"/>
    <w:rsid w:val="009E7A04"/>
    <w:rsid w:val="009F0D1B"/>
    <w:rsid w:val="009F0DB8"/>
    <w:rsid w:val="009F1620"/>
    <w:rsid w:val="009F53DD"/>
    <w:rsid w:val="009F5767"/>
    <w:rsid w:val="009F5BBD"/>
    <w:rsid w:val="009F690A"/>
    <w:rsid w:val="009F696D"/>
    <w:rsid w:val="009F6BC6"/>
    <w:rsid w:val="009F74EF"/>
    <w:rsid w:val="00A00C35"/>
    <w:rsid w:val="00A02408"/>
    <w:rsid w:val="00A02826"/>
    <w:rsid w:val="00A04620"/>
    <w:rsid w:val="00A05BAD"/>
    <w:rsid w:val="00A069CD"/>
    <w:rsid w:val="00A12AB0"/>
    <w:rsid w:val="00A14E32"/>
    <w:rsid w:val="00A15D5A"/>
    <w:rsid w:val="00A1605D"/>
    <w:rsid w:val="00A16D87"/>
    <w:rsid w:val="00A17328"/>
    <w:rsid w:val="00A238F2"/>
    <w:rsid w:val="00A23A20"/>
    <w:rsid w:val="00A23DE0"/>
    <w:rsid w:val="00A24443"/>
    <w:rsid w:val="00A25E47"/>
    <w:rsid w:val="00A2646F"/>
    <w:rsid w:val="00A2665F"/>
    <w:rsid w:val="00A268B9"/>
    <w:rsid w:val="00A2703A"/>
    <w:rsid w:val="00A27C92"/>
    <w:rsid w:val="00A33262"/>
    <w:rsid w:val="00A335F5"/>
    <w:rsid w:val="00A338CB"/>
    <w:rsid w:val="00A33DFF"/>
    <w:rsid w:val="00A35115"/>
    <w:rsid w:val="00A36D9A"/>
    <w:rsid w:val="00A373DB"/>
    <w:rsid w:val="00A37AD9"/>
    <w:rsid w:val="00A40FC1"/>
    <w:rsid w:val="00A41757"/>
    <w:rsid w:val="00A41776"/>
    <w:rsid w:val="00A41A99"/>
    <w:rsid w:val="00A4311F"/>
    <w:rsid w:val="00A4323F"/>
    <w:rsid w:val="00A43613"/>
    <w:rsid w:val="00A451DC"/>
    <w:rsid w:val="00A515CC"/>
    <w:rsid w:val="00A554AB"/>
    <w:rsid w:val="00A56871"/>
    <w:rsid w:val="00A57062"/>
    <w:rsid w:val="00A61BB3"/>
    <w:rsid w:val="00A630E6"/>
    <w:rsid w:val="00A671D0"/>
    <w:rsid w:val="00A67704"/>
    <w:rsid w:val="00A67781"/>
    <w:rsid w:val="00A72669"/>
    <w:rsid w:val="00A73132"/>
    <w:rsid w:val="00A76145"/>
    <w:rsid w:val="00A761F9"/>
    <w:rsid w:val="00A82C28"/>
    <w:rsid w:val="00A83249"/>
    <w:rsid w:val="00A8331C"/>
    <w:rsid w:val="00A836D3"/>
    <w:rsid w:val="00A86A9B"/>
    <w:rsid w:val="00A87216"/>
    <w:rsid w:val="00A87CCC"/>
    <w:rsid w:val="00A9008E"/>
    <w:rsid w:val="00A921CF"/>
    <w:rsid w:val="00A92214"/>
    <w:rsid w:val="00A92B53"/>
    <w:rsid w:val="00A94FA6"/>
    <w:rsid w:val="00AA142D"/>
    <w:rsid w:val="00AA16BB"/>
    <w:rsid w:val="00AA23AB"/>
    <w:rsid w:val="00AA30A3"/>
    <w:rsid w:val="00AA382F"/>
    <w:rsid w:val="00AA49A0"/>
    <w:rsid w:val="00AA66A5"/>
    <w:rsid w:val="00AA6710"/>
    <w:rsid w:val="00AB0681"/>
    <w:rsid w:val="00AB0FAF"/>
    <w:rsid w:val="00AB1C99"/>
    <w:rsid w:val="00AB32AC"/>
    <w:rsid w:val="00AB34FC"/>
    <w:rsid w:val="00AB435D"/>
    <w:rsid w:val="00AB4D0A"/>
    <w:rsid w:val="00AB4E64"/>
    <w:rsid w:val="00AB4EB0"/>
    <w:rsid w:val="00AB64E9"/>
    <w:rsid w:val="00AB78E0"/>
    <w:rsid w:val="00AC0510"/>
    <w:rsid w:val="00AC073A"/>
    <w:rsid w:val="00AC1B49"/>
    <w:rsid w:val="00AC3A15"/>
    <w:rsid w:val="00AC4A63"/>
    <w:rsid w:val="00AC671A"/>
    <w:rsid w:val="00AD1DC4"/>
    <w:rsid w:val="00AD28E4"/>
    <w:rsid w:val="00AD2DAC"/>
    <w:rsid w:val="00AD520B"/>
    <w:rsid w:val="00AD7E7D"/>
    <w:rsid w:val="00AE15EC"/>
    <w:rsid w:val="00AE1A1A"/>
    <w:rsid w:val="00AE3BCC"/>
    <w:rsid w:val="00AE6710"/>
    <w:rsid w:val="00AF0846"/>
    <w:rsid w:val="00AF200A"/>
    <w:rsid w:val="00AF2204"/>
    <w:rsid w:val="00AF44DC"/>
    <w:rsid w:val="00B0453E"/>
    <w:rsid w:val="00B05230"/>
    <w:rsid w:val="00B10A62"/>
    <w:rsid w:val="00B11787"/>
    <w:rsid w:val="00B12C9D"/>
    <w:rsid w:val="00B1307B"/>
    <w:rsid w:val="00B149DE"/>
    <w:rsid w:val="00B15F34"/>
    <w:rsid w:val="00B16932"/>
    <w:rsid w:val="00B16DC5"/>
    <w:rsid w:val="00B21433"/>
    <w:rsid w:val="00B219C9"/>
    <w:rsid w:val="00B22147"/>
    <w:rsid w:val="00B23EC4"/>
    <w:rsid w:val="00B2476C"/>
    <w:rsid w:val="00B24A7E"/>
    <w:rsid w:val="00B24E69"/>
    <w:rsid w:val="00B258D4"/>
    <w:rsid w:val="00B30A22"/>
    <w:rsid w:val="00B33625"/>
    <w:rsid w:val="00B34258"/>
    <w:rsid w:val="00B35653"/>
    <w:rsid w:val="00B376C2"/>
    <w:rsid w:val="00B40D6F"/>
    <w:rsid w:val="00B41AF7"/>
    <w:rsid w:val="00B425C3"/>
    <w:rsid w:val="00B4373D"/>
    <w:rsid w:val="00B440AD"/>
    <w:rsid w:val="00B45B9C"/>
    <w:rsid w:val="00B46B29"/>
    <w:rsid w:val="00B46E97"/>
    <w:rsid w:val="00B479BB"/>
    <w:rsid w:val="00B50CBC"/>
    <w:rsid w:val="00B50D7D"/>
    <w:rsid w:val="00B52184"/>
    <w:rsid w:val="00B53276"/>
    <w:rsid w:val="00B53E7E"/>
    <w:rsid w:val="00B57AC0"/>
    <w:rsid w:val="00B57EF3"/>
    <w:rsid w:val="00B6030B"/>
    <w:rsid w:val="00B60A27"/>
    <w:rsid w:val="00B60CE0"/>
    <w:rsid w:val="00B611D1"/>
    <w:rsid w:val="00B61AD2"/>
    <w:rsid w:val="00B6342E"/>
    <w:rsid w:val="00B63D3C"/>
    <w:rsid w:val="00B662CB"/>
    <w:rsid w:val="00B6716F"/>
    <w:rsid w:val="00B67571"/>
    <w:rsid w:val="00B71131"/>
    <w:rsid w:val="00B7113F"/>
    <w:rsid w:val="00B763BA"/>
    <w:rsid w:val="00B765CF"/>
    <w:rsid w:val="00B82AD3"/>
    <w:rsid w:val="00B84B90"/>
    <w:rsid w:val="00B852D6"/>
    <w:rsid w:val="00B942BB"/>
    <w:rsid w:val="00B9462F"/>
    <w:rsid w:val="00B95A6B"/>
    <w:rsid w:val="00B97524"/>
    <w:rsid w:val="00B9789E"/>
    <w:rsid w:val="00BA2A50"/>
    <w:rsid w:val="00BA2BCF"/>
    <w:rsid w:val="00BA3B20"/>
    <w:rsid w:val="00BA5705"/>
    <w:rsid w:val="00BA5B14"/>
    <w:rsid w:val="00BA615D"/>
    <w:rsid w:val="00BA73B6"/>
    <w:rsid w:val="00BA7E27"/>
    <w:rsid w:val="00BA7E40"/>
    <w:rsid w:val="00BB2603"/>
    <w:rsid w:val="00BB3712"/>
    <w:rsid w:val="00BB3AC2"/>
    <w:rsid w:val="00BB43D6"/>
    <w:rsid w:val="00BB4FCD"/>
    <w:rsid w:val="00BB6A11"/>
    <w:rsid w:val="00BC04E9"/>
    <w:rsid w:val="00BC1F0A"/>
    <w:rsid w:val="00BD13EA"/>
    <w:rsid w:val="00BD1B4D"/>
    <w:rsid w:val="00BD48EE"/>
    <w:rsid w:val="00BD5B1F"/>
    <w:rsid w:val="00BD5C75"/>
    <w:rsid w:val="00BD7A27"/>
    <w:rsid w:val="00BE2B1E"/>
    <w:rsid w:val="00BE3808"/>
    <w:rsid w:val="00BE474B"/>
    <w:rsid w:val="00BE7270"/>
    <w:rsid w:val="00BF3B70"/>
    <w:rsid w:val="00BF3E78"/>
    <w:rsid w:val="00BF3FE0"/>
    <w:rsid w:val="00BF53A2"/>
    <w:rsid w:val="00BF555B"/>
    <w:rsid w:val="00C02A33"/>
    <w:rsid w:val="00C03B88"/>
    <w:rsid w:val="00C04EF7"/>
    <w:rsid w:val="00C058DC"/>
    <w:rsid w:val="00C062E9"/>
    <w:rsid w:val="00C069AA"/>
    <w:rsid w:val="00C07972"/>
    <w:rsid w:val="00C07B64"/>
    <w:rsid w:val="00C111FA"/>
    <w:rsid w:val="00C115FE"/>
    <w:rsid w:val="00C13721"/>
    <w:rsid w:val="00C1376C"/>
    <w:rsid w:val="00C13C1D"/>
    <w:rsid w:val="00C14170"/>
    <w:rsid w:val="00C14710"/>
    <w:rsid w:val="00C14FE4"/>
    <w:rsid w:val="00C15C11"/>
    <w:rsid w:val="00C20133"/>
    <w:rsid w:val="00C208E6"/>
    <w:rsid w:val="00C2252C"/>
    <w:rsid w:val="00C258C5"/>
    <w:rsid w:val="00C27CEE"/>
    <w:rsid w:val="00C3066D"/>
    <w:rsid w:val="00C3290D"/>
    <w:rsid w:val="00C34618"/>
    <w:rsid w:val="00C40A17"/>
    <w:rsid w:val="00C41246"/>
    <w:rsid w:val="00C42A35"/>
    <w:rsid w:val="00C43E39"/>
    <w:rsid w:val="00C453BB"/>
    <w:rsid w:val="00C46331"/>
    <w:rsid w:val="00C47BFD"/>
    <w:rsid w:val="00C50027"/>
    <w:rsid w:val="00C50854"/>
    <w:rsid w:val="00C52416"/>
    <w:rsid w:val="00C5299A"/>
    <w:rsid w:val="00C52B8F"/>
    <w:rsid w:val="00C543F4"/>
    <w:rsid w:val="00C5707B"/>
    <w:rsid w:val="00C62719"/>
    <w:rsid w:val="00C6291C"/>
    <w:rsid w:val="00C633CB"/>
    <w:rsid w:val="00C6459C"/>
    <w:rsid w:val="00C664CD"/>
    <w:rsid w:val="00C66D04"/>
    <w:rsid w:val="00C70EA5"/>
    <w:rsid w:val="00C736B7"/>
    <w:rsid w:val="00C74B49"/>
    <w:rsid w:val="00C81D4A"/>
    <w:rsid w:val="00C83EAC"/>
    <w:rsid w:val="00C85282"/>
    <w:rsid w:val="00C8592C"/>
    <w:rsid w:val="00C86DED"/>
    <w:rsid w:val="00C872DE"/>
    <w:rsid w:val="00C8762C"/>
    <w:rsid w:val="00C91E70"/>
    <w:rsid w:val="00C937AA"/>
    <w:rsid w:val="00C941A6"/>
    <w:rsid w:val="00C9448F"/>
    <w:rsid w:val="00C96988"/>
    <w:rsid w:val="00CA00F9"/>
    <w:rsid w:val="00CA0D47"/>
    <w:rsid w:val="00CA2961"/>
    <w:rsid w:val="00CA53C2"/>
    <w:rsid w:val="00CA6847"/>
    <w:rsid w:val="00CA769F"/>
    <w:rsid w:val="00CB21CF"/>
    <w:rsid w:val="00CB239D"/>
    <w:rsid w:val="00CB50D7"/>
    <w:rsid w:val="00CB6174"/>
    <w:rsid w:val="00CB7177"/>
    <w:rsid w:val="00CB72A3"/>
    <w:rsid w:val="00CB7970"/>
    <w:rsid w:val="00CB7CED"/>
    <w:rsid w:val="00CC070F"/>
    <w:rsid w:val="00CC08AB"/>
    <w:rsid w:val="00CC1998"/>
    <w:rsid w:val="00CC2C7D"/>
    <w:rsid w:val="00CC4946"/>
    <w:rsid w:val="00CC6114"/>
    <w:rsid w:val="00CC64A1"/>
    <w:rsid w:val="00CD0EB3"/>
    <w:rsid w:val="00CD26BC"/>
    <w:rsid w:val="00CD3701"/>
    <w:rsid w:val="00CD4470"/>
    <w:rsid w:val="00CD7565"/>
    <w:rsid w:val="00CE24C0"/>
    <w:rsid w:val="00CE3936"/>
    <w:rsid w:val="00CE48B5"/>
    <w:rsid w:val="00CF17BD"/>
    <w:rsid w:val="00CF3B11"/>
    <w:rsid w:val="00CF47F6"/>
    <w:rsid w:val="00CF7B63"/>
    <w:rsid w:val="00CF7CA9"/>
    <w:rsid w:val="00D021B3"/>
    <w:rsid w:val="00D1071E"/>
    <w:rsid w:val="00D108B4"/>
    <w:rsid w:val="00D10D21"/>
    <w:rsid w:val="00D110FB"/>
    <w:rsid w:val="00D13324"/>
    <w:rsid w:val="00D15378"/>
    <w:rsid w:val="00D20D8A"/>
    <w:rsid w:val="00D216A1"/>
    <w:rsid w:val="00D218EE"/>
    <w:rsid w:val="00D2695E"/>
    <w:rsid w:val="00D270A4"/>
    <w:rsid w:val="00D31FE9"/>
    <w:rsid w:val="00D34E1B"/>
    <w:rsid w:val="00D350F8"/>
    <w:rsid w:val="00D376BA"/>
    <w:rsid w:val="00D4039E"/>
    <w:rsid w:val="00D41EAB"/>
    <w:rsid w:val="00D430FD"/>
    <w:rsid w:val="00D434A0"/>
    <w:rsid w:val="00D44562"/>
    <w:rsid w:val="00D44B23"/>
    <w:rsid w:val="00D45634"/>
    <w:rsid w:val="00D547F6"/>
    <w:rsid w:val="00D550B4"/>
    <w:rsid w:val="00D5568A"/>
    <w:rsid w:val="00D569F7"/>
    <w:rsid w:val="00D57CB1"/>
    <w:rsid w:val="00D57D27"/>
    <w:rsid w:val="00D57FB4"/>
    <w:rsid w:val="00D60DFF"/>
    <w:rsid w:val="00D621A6"/>
    <w:rsid w:val="00D63D73"/>
    <w:rsid w:val="00D64452"/>
    <w:rsid w:val="00D64461"/>
    <w:rsid w:val="00D65661"/>
    <w:rsid w:val="00D65D4F"/>
    <w:rsid w:val="00D666BC"/>
    <w:rsid w:val="00D66E1E"/>
    <w:rsid w:val="00D70513"/>
    <w:rsid w:val="00D70696"/>
    <w:rsid w:val="00D724A3"/>
    <w:rsid w:val="00D724B9"/>
    <w:rsid w:val="00D726B6"/>
    <w:rsid w:val="00D73E42"/>
    <w:rsid w:val="00D7406B"/>
    <w:rsid w:val="00D74768"/>
    <w:rsid w:val="00D75722"/>
    <w:rsid w:val="00D75C46"/>
    <w:rsid w:val="00D80CF5"/>
    <w:rsid w:val="00D8142E"/>
    <w:rsid w:val="00D8398D"/>
    <w:rsid w:val="00D84C9F"/>
    <w:rsid w:val="00D84FC4"/>
    <w:rsid w:val="00D91389"/>
    <w:rsid w:val="00D9295F"/>
    <w:rsid w:val="00D935A3"/>
    <w:rsid w:val="00D93F0F"/>
    <w:rsid w:val="00D94478"/>
    <w:rsid w:val="00D94CF0"/>
    <w:rsid w:val="00D94D0A"/>
    <w:rsid w:val="00DA211C"/>
    <w:rsid w:val="00DA4444"/>
    <w:rsid w:val="00DA501E"/>
    <w:rsid w:val="00DA5BBA"/>
    <w:rsid w:val="00DB26D2"/>
    <w:rsid w:val="00DB4BC1"/>
    <w:rsid w:val="00DB656C"/>
    <w:rsid w:val="00DB67C9"/>
    <w:rsid w:val="00DB6A38"/>
    <w:rsid w:val="00DB7FBB"/>
    <w:rsid w:val="00DC0C95"/>
    <w:rsid w:val="00DC0DFC"/>
    <w:rsid w:val="00DC1B63"/>
    <w:rsid w:val="00DC221F"/>
    <w:rsid w:val="00DC2D10"/>
    <w:rsid w:val="00DC35CC"/>
    <w:rsid w:val="00DC4F0B"/>
    <w:rsid w:val="00DC4F29"/>
    <w:rsid w:val="00DC6BE7"/>
    <w:rsid w:val="00DC7CAC"/>
    <w:rsid w:val="00DD03CC"/>
    <w:rsid w:val="00DD3F5D"/>
    <w:rsid w:val="00DD4D0E"/>
    <w:rsid w:val="00DD6580"/>
    <w:rsid w:val="00DD7012"/>
    <w:rsid w:val="00DE32CD"/>
    <w:rsid w:val="00DE47F5"/>
    <w:rsid w:val="00DE74A1"/>
    <w:rsid w:val="00DF3808"/>
    <w:rsid w:val="00E01D7F"/>
    <w:rsid w:val="00E028AA"/>
    <w:rsid w:val="00E02DF1"/>
    <w:rsid w:val="00E02E50"/>
    <w:rsid w:val="00E03588"/>
    <w:rsid w:val="00E05C03"/>
    <w:rsid w:val="00E111AD"/>
    <w:rsid w:val="00E112B3"/>
    <w:rsid w:val="00E12DE5"/>
    <w:rsid w:val="00E1363F"/>
    <w:rsid w:val="00E1687A"/>
    <w:rsid w:val="00E17C72"/>
    <w:rsid w:val="00E210C2"/>
    <w:rsid w:val="00E21FC6"/>
    <w:rsid w:val="00E24EB9"/>
    <w:rsid w:val="00E25DAD"/>
    <w:rsid w:val="00E27B20"/>
    <w:rsid w:val="00E30BA4"/>
    <w:rsid w:val="00E323E7"/>
    <w:rsid w:val="00E35D53"/>
    <w:rsid w:val="00E371A7"/>
    <w:rsid w:val="00E40EAC"/>
    <w:rsid w:val="00E431A9"/>
    <w:rsid w:val="00E44736"/>
    <w:rsid w:val="00E47E1E"/>
    <w:rsid w:val="00E51524"/>
    <w:rsid w:val="00E53002"/>
    <w:rsid w:val="00E55A5D"/>
    <w:rsid w:val="00E56312"/>
    <w:rsid w:val="00E60CC8"/>
    <w:rsid w:val="00E617C2"/>
    <w:rsid w:val="00E61FED"/>
    <w:rsid w:val="00E632AA"/>
    <w:rsid w:val="00E6334C"/>
    <w:rsid w:val="00E64334"/>
    <w:rsid w:val="00E64E48"/>
    <w:rsid w:val="00E652CB"/>
    <w:rsid w:val="00E66251"/>
    <w:rsid w:val="00E669E2"/>
    <w:rsid w:val="00E71D4B"/>
    <w:rsid w:val="00E72A70"/>
    <w:rsid w:val="00E73011"/>
    <w:rsid w:val="00E73C45"/>
    <w:rsid w:val="00E75C05"/>
    <w:rsid w:val="00E75CCC"/>
    <w:rsid w:val="00E75F92"/>
    <w:rsid w:val="00E76135"/>
    <w:rsid w:val="00E76AA2"/>
    <w:rsid w:val="00E80E88"/>
    <w:rsid w:val="00E8135B"/>
    <w:rsid w:val="00E81D96"/>
    <w:rsid w:val="00E82F4F"/>
    <w:rsid w:val="00E864DF"/>
    <w:rsid w:val="00E8672A"/>
    <w:rsid w:val="00E87000"/>
    <w:rsid w:val="00E8763C"/>
    <w:rsid w:val="00E87C1D"/>
    <w:rsid w:val="00E90537"/>
    <w:rsid w:val="00E91D80"/>
    <w:rsid w:val="00E93A8D"/>
    <w:rsid w:val="00E94A1A"/>
    <w:rsid w:val="00E9696D"/>
    <w:rsid w:val="00EA096C"/>
    <w:rsid w:val="00EA0FA2"/>
    <w:rsid w:val="00EA2D45"/>
    <w:rsid w:val="00EA4FFB"/>
    <w:rsid w:val="00EA5B0D"/>
    <w:rsid w:val="00EB025E"/>
    <w:rsid w:val="00EB0D3C"/>
    <w:rsid w:val="00EB119D"/>
    <w:rsid w:val="00EB1216"/>
    <w:rsid w:val="00EB234A"/>
    <w:rsid w:val="00EB2CC3"/>
    <w:rsid w:val="00EB2FBB"/>
    <w:rsid w:val="00EB378B"/>
    <w:rsid w:val="00EB4B0D"/>
    <w:rsid w:val="00EB4F51"/>
    <w:rsid w:val="00EB6A4F"/>
    <w:rsid w:val="00EB7BC4"/>
    <w:rsid w:val="00EB7F9F"/>
    <w:rsid w:val="00EC0F18"/>
    <w:rsid w:val="00EC218F"/>
    <w:rsid w:val="00EC2844"/>
    <w:rsid w:val="00EC52FD"/>
    <w:rsid w:val="00EC5307"/>
    <w:rsid w:val="00EC5500"/>
    <w:rsid w:val="00EC5B63"/>
    <w:rsid w:val="00EC681C"/>
    <w:rsid w:val="00EC7404"/>
    <w:rsid w:val="00ED18F8"/>
    <w:rsid w:val="00ED6738"/>
    <w:rsid w:val="00EE1384"/>
    <w:rsid w:val="00EE325B"/>
    <w:rsid w:val="00EE394A"/>
    <w:rsid w:val="00EE6EDA"/>
    <w:rsid w:val="00EE778E"/>
    <w:rsid w:val="00EF0530"/>
    <w:rsid w:val="00EF14CE"/>
    <w:rsid w:val="00EF6719"/>
    <w:rsid w:val="00EF6C6C"/>
    <w:rsid w:val="00EF739F"/>
    <w:rsid w:val="00F010B5"/>
    <w:rsid w:val="00F01206"/>
    <w:rsid w:val="00F0200B"/>
    <w:rsid w:val="00F056FC"/>
    <w:rsid w:val="00F0632F"/>
    <w:rsid w:val="00F069AE"/>
    <w:rsid w:val="00F10476"/>
    <w:rsid w:val="00F1203E"/>
    <w:rsid w:val="00F135D8"/>
    <w:rsid w:val="00F14095"/>
    <w:rsid w:val="00F15987"/>
    <w:rsid w:val="00F21605"/>
    <w:rsid w:val="00F23046"/>
    <w:rsid w:val="00F231F4"/>
    <w:rsid w:val="00F24292"/>
    <w:rsid w:val="00F2630B"/>
    <w:rsid w:val="00F26846"/>
    <w:rsid w:val="00F274C3"/>
    <w:rsid w:val="00F31299"/>
    <w:rsid w:val="00F32E4A"/>
    <w:rsid w:val="00F3355E"/>
    <w:rsid w:val="00F3534A"/>
    <w:rsid w:val="00F35BFB"/>
    <w:rsid w:val="00F36ACC"/>
    <w:rsid w:val="00F41631"/>
    <w:rsid w:val="00F42891"/>
    <w:rsid w:val="00F42B43"/>
    <w:rsid w:val="00F4536F"/>
    <w:rsid w:val="00F504FC"/>
    <w:rsid w:val="00F515B3"/>
    <w:rsid w:val="00F51609"/>
    <w:rsid w:val="00F52DDB"/>
    <w:rsid w:val="00F53DC0"/>
    <w:rsid w:val="00F5407A"/>
    <w:rsid w:val="00F54413"/>
    <w:rsid w:val="00F55C25"/>
    <w:rsid w:val="00F61D20"/>
    <w:rsid w:val="00F627DD"/>
    <w:rsid w:val="00F64520"/>
    <w:rsid w:val="00F646DF"/>
    <w:rsid w:val="00F66A4E"/>
    <w:rsid w:val="00F72D47"/>
    <w:rsid w:val="00F73727"/>
    <w:rsid w:val="00F740D4"/>
    <w:rsid w:val="00F766A7"/>
    <w:rsid w:val="00F81006"/>
    <w:rsid w:val="00F81B93"/>
    <w:rsid w:val="00F84C92"/>
    <w:rsid w:val="00F85325"/>
    <w:rsid w:val="00F85660"/>
    <w:rsid w:val="00F865E8"/>
    <w:rsid w:val="00F87248"/>
    <w:rsid w:val="00F87648"/>
    <w:rsid w:val="00F90583"/>
    <w:rsid w:val="00F916DB"/>
    <w:rsid w:val="00F95C26"/>
    <w:rsid w:val="00F960D2"/>
    <w:rsid w:val="00FA24C8"/>
    <w:rsid w:val="00FA30C6"/>
    <w:rsid w:val="00FA5BD3"/>
    <w:rsid w:val="00FA5E5F"/>
    <w:rsid w:val="00FA6345"/>
    <w:rsid w:val="00FB1C60"/>
    <w:rsid w:val="00FB42A1"/>
    <w:rsid w:val="00FB437A"/>
    <w:rsid w:val="00FB43AE"/>
    <w:rsid w:val="00FC213C"/>
    <w:rsid w:val="00FD1DD1"/>
    <w:rsid w:val="00FD1E25"/>
    <w:rsid w:val="00FD22B1"/>
    <w:rsid w:val="00FD25E0"/>
    <w:rsid w:val="00FD33F1"/>
    <w:rsid w:val="00FD3566"/>
    <w:rsid w:val="00FD437C"/>
    <w:rsid w:val="00FE15F3"/>
    <w:rsid w:val="00FE1E97"/>
    <w:rsid w:val="00FE2907"/>
    <w:rsid w:val="00FE3C71"/>
    <w:rsid w:val="00FE5397"/>
    <w:rsid w:val="00FF036B"/>
    <w:rsid w:val="00FF0E98"/>
    <w:rsid w:val="00FF1763"/>
    <w:rsid w:val="00FF68DF"/>
    <w:rsid w:val="02454389"/>
    <w:rsid w:val="0248A152"/>
    <w:rsid w:val="02E8D4AD"/>
    <w:rsid w:val="033EA637"/>
    <w:rsid w:val="035860F7"/>
    <w:rsid w:val="045C0FDA"/>
    <w:rsid w:val="058CF543"/>
    <w:rsid w:val="05C31D51"/>
    <w:rsid w:val="06F962EA"/>
    <w:rsid w:val="0841380B"/>
    <w:rsid w:val="08C000EE"/>
    <w:rsid w:val="0A3E741C"/>
    <w:rsid w:val="0A42D4CF"/>
    <w:rsid w:val="0BA6F63C"/>
    <w:rsid w:val="0BF40C65"/>
    <w:rsid w:val="0C34A7DB"/>
    <w:rsid w:val="0C46A1BE"/>
    <w:rsid w:val="0D42C69D"/>
    <w:rsid w:val="0D4BD830"/>
    <w:rsid w:val="0E300750"/>
    <w:rsid w:val="0FC4E62A"/>
    <w:rsid w:val="10D354A6"/>
    <w:rsid w:val="122E3F83"/>
    <w:rsid w:val="12CE66CB"/>
    <w:rsid w:val="131143EC"/>
    <w:rsid w:val="139F4512"/>
    <w:rsid w:val="13D05836"/>
    <w:rsid w:val="1552DBA9"/>
    <w:rsid w:val="15D98645"/>
    <w:rsid w:val="16B5B8E8"/>
    <w:rsid w:val="170045EE"/>
    <w:rsid w:val="17AB4458"/>
    <w:rsid w:val="1852C2A1"/>
    <w:rsid w:val="18D5F426"/>
    <w:rsid w:val="18F6E390"/>
    <w:rsid w:val="194E8AB1"/>
    <w:rsid w:val="19ACC332"/>
    <w:rsid w:val="1A67A763"/>
    <w:rsid w:val="1B055232"/>
    <w:rsid w:val="1B1907AC"/>
    <w:rsid w:val="1C2F4D79"/>
    <w:rsid w:val="1C5E9FE4"/>
    <w:rsid w:val="1D183271"/>
    <w:rsid w:val="1D427AFA"/>
    <w:rsid w:val="1D9050D2"/>
    <w:rsid w:val="1DA4D4E8"/>
    <w:rsid w:val="1E739BCE"/>
    <w:rsid w:val="1E754E71"/>
    <w:rsid w:val="1E87C4DE"/>
    <w:rsid w:val="2018B8EE"/>
    <w:rsid w:val="201965A3"/>
    <w:rsid w:val="220BB8C2"/>
    <w:rsid w:val="227C0C23"/>
    <w:rsid w:val="233E8CC2"/>
    <w:rsid w:val="24DE71A7"/>
    <w:rsid w:val="24F34163"/>
    <w:rsid w:val="251A17C7"/>
    <w:rsid w:val="25C0D4F6"/>
    <w:rsid w:val="26CE3002"/>
    <w:rsid w:val="2761E870"/>
    <w:rsid w:val="27A41D44"/>
    <w:rsid w:val="2864160C"/>
    <w:rsid w:val="29055451"/>
    <w:rsid w:val="299D35AA"/>
    <w:rsid w:val="29C6B286"/>
    <w:rsid w:val="2A37E039"/>
    <w:rsid w:val="2A84B059"/>
    <w:rsid w:val="2B1A4BA9"/>
    <w:rsid w:val="2B6282E7"/>
    <w:rsid w:val="2C395E29"/>
    <w:rsid w:val="2C3AA052"/>
    <w:rsid w:val="2CADD866"/>
    <w:rsid w:val="2DE1CBDE"/>
    <w:rsid w:val="2E9A23A9"/>
    <w:rsid w:val="2ECAAC70"/>
    <w:rsid w:val="2FDC6E52"/>
    <w:rsid w:val="2FE77AB4"/>
    <w:rsid w:val="3128E18C"/>
    <w:rsid w:val="32425212"/>
    <w:rsid w:val="3264477C"/>
    <w:rsid w:val="336D94CC"/>
    <w:rsid w:val="353142D4"/>
    <w:rsid w:val="35ACAD3E"/>
    <w:rsid w:val="368DC71F"/>
    <w:rsid w:val="369CD9A7"/>
    <w:rsid w:val="36A8D97E"/>
    <w:rsid w:val="371673DF"/>
    <w:rsid w:val="3742C63C"/>
    <w:rsid w:val="375DE1A6"/>
    <w:rsid w:val="37DE0AE0"/>
    <w:rsid w:val="386FC9D9"/>
    <w:rsid w:val="3939685C"/>
    <w:rsid w:val="3A9B7DD1"/>
    <w:rsid w:val="3AA52F58"/>
    <w:rsid w:val="3B13FB13"/>
    <w:rsid w:val="3B5D3CCE"/>
    <w:rsid w:val="3BA76A9B"/>
    <w:rsid w:val="3BB48AFC"/>
    <w:rsid w:val="3F365524"/>
    <w:rsid w:val="404EE6BC"/>
    <w:rsid w:val="414A3857"/>
    <w:rsid w:val="43727DBF"/>
    <w:rsid w:val="4432E941"/>
    <w:rsid w:val="446B697E"/>
    <w:rsid w:val="44FE0B97"/>
    <w:rsid w:val="4533F594"/>
    <w:rsid w:val="49B2E1B8"/>
    <w:rsid w:val="49CB3A16"/>
    <w:rsid w:val="4C3D4021"/>
    <w:rsid w:val="4CB2A532"/>
    <w:rsid w:val="4CC2043A"/>
    <w:rsid w:val="4CE1FB9C"/>
    <w:rsid w:val="4D7BECC4"/>
    <w:rsid w:val="4E76ED5C"/>
    <w:rsid w:val="4E7DCBFD"/>
    <w:rsid w:val="50BB2011"/>
    <w:rsid w:val="51B6291D"/>
    <w:rsid w:val="51CE79D3"/>
    <w:rsid w:val="51D66EF3"/>
    <w:rsid w:val="537CAF4B"/>
    <w:rsid w:val="544BD53B"/>
    <w:rsid w:val="547C647C"/>
    <w:rsid w:val="548D241D"/>
    <w:rsid w:val="5ABF9A02"/>
    <w:rsid w:val="5ACEDF8D"/>
    <w:rsid w:val="5AD50C71"/>
    <w:rsid w:val="5AEBA600"/>
    <w:rsid w:val="5B746D44"/>
    <w:rsid w:val="5C9EAB04"/>
    <w:rsid w:val="5D0DB66A"/>
    <w:rsid w:val="5EB918A8"/>
    <w:rsid w:val="5FD46B50"/>
    <w:rsid w:val="612696FB"/>
    <w:rsid w:val="6168958B"/>
    <w:rsid w:val="6355CE17"/>
    <w:rsid w:val="6384CC17"/>
    <w:rsid w:val="6395B087"/>
    <w:rsid w:val="639DFB0A"/>
    <w:rsid w:val="6441B004"/>
    <w:rsid w:val="64B934A5"/>
    <w:rsid w:val="64E6B9F3"/>
    <w:rsid w:val="651885B0"/>
    <w:rsid w:val="655CA9B0"/>
    <w:rsid w:val="656B6D31"/>
    <w:rsid w:val="65EE1E63"/>
    <w:rsid w:val="660FDFA5"/>
    <w:rsid w:val="676085C9"/>
    <w:rsid w:val="68555E4D"/>
    <w:rsid w:val="69673059"/>
    <w:rsid w:val="6A5F6CC8"/>
    <w:rsid w:val="6A626B9F"/>
    <w:rsid w:val="6CCB4E73"/>
    <w:rsid w:val="6D805A44"/>
    <w:rsid w:val="6DAEB752"/>
    <w:rsid w:val="6E24D77D"/>
    <w:rsid w:val="6F140522"/>
    <w:rsid w:val="6F41F27A"/>
    <w:rsid w:val="6FA8A3F5"/>
    <w:rsid w:val="7025C73E"/>
    <w:rsid w:val="70BFDBD2"/>
    <w:rsid w:val="71084B0C"/>
    <w:rsid w:val="71417EF0"/>
    <w:rsid w:val="71A70DD6"/>
    <w:rsid w:val="722306F5"/>
    <w:rsid w:val="72DBFCDB"/>
    <w:rsid w:val="73339D9E"/>
    <w:rsid w:val="74FA1CE8"/>
    <w:rsid w:val="7519A367"/>
    <w:rsid w:val="7557DCBB"/>
    <w:rsid w:val="755B29E8"/>
    <w:rsid w:val="774C5FEC"/>
    <w:rsid w:val="777607AC"/>
    <w:rsid w:val="78C01DD6"/>
    <w:rsid w:val="79347AD9"/>
    <w:rsid w:val="7A603B35"/>
    <w:rsid w:val="7B88E4EB"/>
    <w:rsid w:val="7C99FFCA"/>
    <w:rsid w:val="7C9FCE56"/>
    <w:rsid w:val="7D24B54C"/>
    <w:rsid w:val="7D852DB9"/>
    <w:rsid w:val="7DD7449A"/>
    <w:rsid w:val="7E788C4D"/>
    <w:rsid w:val="7EE954C6"/>
    <w:rsid w:val="7EF6AD5B"/>
    <w:rsid w:val="7F30E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0B18E"/>
  <w15:docId w15:val="{804602B7-9053-425A-9D2F-1689F72A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06823"/>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00682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CommentTextChar">
    <w:name w:val="Comment Text Char"/>
    <w:basedOn w:val="DefaultParagraphFont"/>
    <w:link w:val="CommentText"/>
    <w:semiHidden/>
    <w:rsid w:val="00060D89"/>
    <w:rPr>
      <w:szCs w:val="24"/>
    </w:rPr>
  </w:style>
  <w:style w:type="paragraph" w:styleId="CommentSubject">
    <w:name w:val="annotation subject"/>
    <w:basedOn w:val="CommentText"/>
    <w:next w:val="CommentText"/>
    <w:link w:val="CommentSubjectChar"/>
    <w:semiHidden/>
    <w:unhideWhenUsed/>
    <w:rsid w:val="00E53002"/>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E53002"/>
    <w:rPr>
      <w:b/>
      <w:bCs/>
      <w:szCs w:val="24"/>
    </w:rPr>
  </w:style>
  <w:style w:type="character" w:customStyle="1" w:styleId="BoxListBulletChar">
    <w:name w:val="Box List Bullet Char"/>
    <w:basedOn w:val="DefaultParagraphFont"/>
    <w:link w:val="BoxListBullet"/>
    <w:rsid w:val="00E53002"/>
    <w:rPr>
      <w:rFonts w:ascii="Arial" w:hAnsi="Arial"/>
    </w:rPr>
  </w:style>
  <w:style w:type="character" w:customStyle="1" w:styleId="BoxChar">
    <w:name w:val="Box Char"/>
    <w:link w:val="Box"/>
    <w:rsid w:val="00E53002"/>
    <w:rPr>
      <w:rFonts w:ascii="Arial" w:hAnsi="Arial"/>
    </w:rPr>
  </w:style>
  <w:style w:type="paragraph" w:customStyle="1" w:styleId="TableParagraph">
    <w:name w:val="Table Paragraph"/>
    <w:basedOn w:val="Normal"/>
    <w:uiPriority w:val="1"/>
    <w:qFormat/>
    <w:rsid w:val="00F23046"/>
    <w:pPr>
      <w:widowControl w:val="0"/>
      <w:autoSpaceDE w:val="0"/>
      <w:autoSpaceDN w:val="0"/>
    </w:pPr>
    <w:rPr>
      <w:rFonts w:ascii="Arial" w:eastAsia="Arial" w:hAnsi="Arial" w:cs="Arial"/>
      <w:sz w:val="22"/>
      <w:szCs w:val="22"/>
      <w:lang w:bidi="en-AU"/>
    </w:rPr>
  </w:style>
  <w:style w:type="paragraph" w:styleId="ListParagraph">
    <w:name w:val="List Paragraph"/>
    <w:basedOn w:val="Normal"/>
    <w:uiPriority w:val="34"/>
    <w:qFormat/>
    <w:rsid w:val="00C04EF7"/>
    <w:pPr>
      <w:ind w:left="720"/>
    </w:pPr>
    <w:rPr>
      <w:rFonts w:ascii="Calibri" w:eastAsiaTheme="minorHAnsi" w:hAnsi="Calibri" w:cs="Calibri"/>
      <w:sz w:val="22"/>
      <w:szCs w:val="22"/>
      <w:lang w:eastAsia="en-US"/>
    </w:rPr>
  </w:style>
  <w:style w:type="paragraph" w:customStyle="1" w:styleId="Heading1NotTOC">
    <w:name w:val="Heading 1 Not TOC"/>
    <w:basedOn w:val="Heading1"/>
    <w:next w:val="BodyText"/>
    <w:rsid w:val="00536344"/>
    <w:rPr>
      <w:kern w:val="28"/>
      <w:szCs w:val="26"/>
      <w:lang w:eastAsia="en-US"/>
    </w:rPr>
  </w:style>
  <w:style w:type="paragraph" w:styleId="Revision">
    <w:name w:val="Revision"/>
    <w:hidden/>
    <w:uiPriority w:val="99"/>
    <w:semiHidden/>
    <w:rsid w:val="00FD1E25"/>
    <w:rPr>
      <w:sz w:val="24"/>
      <w:szCs w:val="24"/>
    </w:rPr>
  </w:style>
  <w:style w:type="character" w:customStyle="1" w:styleId="HeaderChar">
    <w:name w:val="Header Char"/>
    <w:basedOn w:val="DefaultParagraphFont"/>
    <w:link w:val="Header"/>
    <w:rsid w:val="007675E9"/>
    <w:rPr>
      <w:rFonts w:ascii="Arial" w:hAnsi="Arial"/>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737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agil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7" ma:contentTypeDescription="Create a new document." ma:contentTypeScope="" ma:versionID="ddba8d5d62cf5586a68e18e2c7de8f97">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ec7b0fcae18f1f5828665069aaf9c909"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b6b04b89-cd0c-413f-813b-22de46186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1666D-BCBF-4058-A55F-37EF99B6B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04b89-cd0c-413f-813b-22de46186900"/>
    <ds:schemaRef ds:uri="ec209c46-b8ed-41b5-8e9e-10b5253a0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569C2-9708-4B88-B257-32BE658FBBA0}">
  <ds:schemaRefs>
    <ds:schemaRef ds:uri="http://schemas.openxmlformats.org/officeDocument/2006/bibliography"/>
  </ds:schemaRefs>
</ds:datastoreItem>
</file>

<file path=customXml/itemProps3.xml><?xml version="1.0" encoding="utf-8"?>
<ds:datastoreItem xmlns:ds="http://schemas.openxmlformats.org/officeDocument/2006/customXml" ds:itemID="{23CC3BED-0CF2-4270-B1D0-C0D32CA4D8CF}">
  <ds:schemaRefs>
    <ds:schemaRef ds:uri="http://schemas.microsoft.com/sharepoint/v3/contenttype/forms"/>
  </ds:schemaRefs>
</ds:datastoreItem>
</file>

<file path=customXml/itemProps4.xml><?xml version="1.0" encoding="utf-8"?>
<ds:datastoreItem xmlns:ds="http://schemas.openxmlformats.org/officeDocument/2006/customXml" ds:itemID="{BF0384EC-C717-46CB-823E-DC0A3EB7A39D}">
  <ds:schemaRefs>
    <ds:schemaRef ds:uri="http://schemas.microsoft.com/office/2006/metadata/properties"/>
    <ds:schemaRef ds:uri="http://schemas.microsoft.com/office/infopath/2007/PartnerControls"/>
    <ds:schemaRef ds:uri="ec209c46-b8ed-41b5-8e9e-10b5253a02de"/>
    <ds:schemaRef ds:uri="46a517c8-fd1b-475b-b2d0-5e962aafbbdc"/>
    <ds:schemaRef ds:uri="b6b04b89-cd0c-413f-813b-22de46186900"/>
  </ds:schemaRefs>
</ds:datastoreItem>
</file>

<file path=docProps/app.xml><?xml version="1.0" encoding="utf-8"?>
<Properties xmlns="http://schemas.openxmlformats.org/officeDocument/2006/extended-properties" xmlns:vt="http://schemas.openxmlformats.org/officeDocument/2006/docPropsVTypes">
  <Template>chapter.dotm</Template>
  <TotalTime>3</TotalTime>
  <Pages>25</Pages>
  <Words>7722</Words>
  <Characters>43837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HOUSING INTERPRETATIVE MATERIAL</vt:lpstr>
    </vt:vector>
  </TitlesOfParts>
  <Company>Productivity Commission</Company>
  <LinksUpToDate>false</LinksUpToDate>
  <CharactersWithSpaces>51457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interpretative material</dc:title>
  <dc:subject/>
  <dc:creator>Steering Committee for the Review of Government Service Provision</dc:creator>
  <cp:keywords/>
  <dc:description/>
  <cp:lastModifiedBy>Magilton, Gay</cp:lastModifiedBy>
  <cp:revision>3</cp:revision>
  <cp:lastPrinted>2022-01-04T04:11:00Z</cp:lastPrinted>
  <dcterms:created xsi:type="dcterms:W3CDTF">2022-05-23T04:24:00Z</dcterms:created>
  <dcterms:modified xsi:type="dcterms:W3CDTF">2022-06-01T03:24:00Z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y fmtid="{D5CDD505-2E9C-101B-9397-08002B2CF9AE}" pid="4" name="MediaServiceImageTags">
    <vt:lpwstr/>
  </property>
</Properties>
</file>