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6743DA75" w14:textId="77777777" w:rsidR="00B302FA" w:rsidRDefault="00F33F8D" w:rsidP="00295330">
          <w:pPr>
            <w:pStyle w:val="CoverImage"/>
            <w:framePr w:wrap="around"/>
          </w:pPr>
          <w:r w:rsidRPr="00F33F8D">
            <w:rPr>
              <w:noProof/>
            </w:rPr>
            <w:drawing>
              <wp:inline distT="0" distB="0" distL="0" distR="0" wp14:anchorId="0FF8C43B" wp14:editId="4F7ED472">
                <wp:extent cx="7558753" cy="2806996"/>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922" b="922"/>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3120BB28" w14:textId="3E2C69AF" w:rsidR="0050629F" w:rsidRPr="00DC5DFF" w:rsidRDefault="00BB70DB" w:rsidP="00EE6904">
          <w:pPr>
            <w:pStyle w:val="Coverdate"/>
            <w:framePr w:wrap="around" w:hAnchor="page" w:x="10080" w:y="1037"/>
          </w:pPr>
          <w:r>
            <w:t>July</w:t>
          </w:r>
          <w:r w:rsidR="0050629F">
            <w:t xml:space="preserve"> </w:t>
          </w:r>
          <w:r>
            <w:t>2024</w:t>
          </w:r>
        </w:p>
        <w:p w14:paraId="4FB8C2A6" w14:textId="77777777" w:rsidR="00295330" w:rsidRPr="00461CE9" w:rsidRDefault="00295330" w:rsidP="00461CE9"/>
        <w:p w14:paraId="789D6059" w14:textId="7648E06C" w:rsidR="008A1311" w:rsidRDefault="008A1311" w:rsidP="008A1311">
          <w:pPr>
            <w:pStyle w:val="Title"/>
            <w:ind w:right="140"/>
          </w:pPr>
          <w:r w:rsidRPr="008A1311">
            <w:t xml:space="preserve">Future Made in Australia </w:t>
          </w:r>
          <w:r w:rsidR="00F24439">
            <w:t>l</w:t>
          </w:r>
          <w:r w:rsidR="00A670F6">
            <w:t>egislation</w:t>
          </w:r>
          <w:r w:rsidR="00636EFD">
            <w:t xml:space="preserve"> – Senate Economics Legislation Committee </w:t>
          </w:r>
          <w:r w:rsidR="00F24439">
            <w:t>i</w:t>
          </w:r>
          <w:r w:rsidR="00636EFD">
            <w:t>nquiry</w:t>
          </w:r>
          <w:r w:rsidRPr="008A1311">
            <w:t xml:space="preserve"> </w:t>
          </w:r>
        </w:p>
        <w:p w14:paraId="5BF3250A" w14:textId="77777777" w:rsidR="008A1311" w:rsidRDefault="008A1311" w:rsidP="008A1311">
          <w:pPr>
            <w:pStyle w:val="Title"/>
            <w:ind w:right="140"/>
          </w:pPr>
        </w:p>
        <w:p w14:paraId="50A72A5A" w14:textId="6271E954" w:rsidR="00B302FA" w:rsidRPr="00CD3967" w:rsidRDefault="00BB70DB" w:rsidP="008A1311">
          <w:pPr>
            <w:pStyle w:val="Title"/>
            <w:ind w:right="140"/>
            <w:rPr>
              <w:rStyle w:val="SubtitleChar"/>
              <w:rFonts w:ascii="Arial" w:hAnsi="Arial" w:cs="Arial"/>
            </w:rPr>
          </w:pPr>
          <w:r w:rsidRPr="00CD3967">
            <w:rPr>
              <w:rStyle w:val="SubtitleChar"/>
              <w:rFonts w:ascii="Arial" w:hAnsi="Arial" w:cs="Arial"/>
            </w:rPr>
            <w:t>Productivity Commission submission</w:t>
          </w:r>
        </w:p>
        <w:p w14:paraId="1BB40746" w14:textId="77777777" w:rsidR="006C018B" w:rsidRDefault="006C018B">
          <w:pPr>
            <w:spacing w:after="160" w:line="259" w:lineRule="auto"/>
          </w:pPr>
        </w:p>
        <w:p w14:paraId="6487D9A6" w14:textId="77777777" w:rsidR="00B302FA" w:rsidRDefault="00B302FA">
          <w:pPr>
            <w:spacing w:after="160" w:line="259" w:lineRule="auto"/>
            <w:sectPr w:rsidR="00B302FA" w:rsidSect="00B45E92">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0377BE5" w14:textId="77777777" w:rsidTr="00C14016">
            <w:trPr>
              <w:trHeight w:hRule="exact" w:val="12643"/>
            </w:trPr>
            <w:tc>
              <w:tcPr>
                <w:tcW w:w="9638" w:type="dxa"/>
                <w:tcMar>
                  <w:top w:w="113" w:type="dxa"/>
                </w:tcMar>
              </w:tcPr>
              <w:p w14:paraId="4AB5B19C" w14:textId="77777777" w:rsidR="00C31E23" w:rsidRPr="000F4488" w:rsidRDefault="00B302FA" w:rsidP="00AA446B">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376B94A0" w14:textId="77777777" w:rsidR="00C31E23" w:rsidRPr="00F37CB6" w:rsidRDefault="00C31E23" w:rsidP="00AA446B">
                <w:pPr>
                  <w:pStyle w:val="Copyrightpage-Keylinenotext"/>
                  <w:ind w:right="-284"/>
                </w:pPr>
              </w:p>
              <w:p w14:paraId="353187A1" w14:textId="77777777" w:rsidR="00C31E23" w:rsidRPr="00D96F65" w:rsidRDefault="00C31E23" w:rsidP="00AA446B">
                <w:pPr>
                  <w:pStyle w:val="Copyrightpage-Heading"/>
                  <w:ind w:right="-284"/>
                </w:pPr>
                <w:r w:rsidRPr="00D96F65">
                  <w:t>The Productivity Commission</w:t>
                </w:r>
              </w:p>
              <w:p w14:paraId="482D0C98" w14:textId="77777777" w:rsidR="00C31E23" w:rsidRPr="0013722E" w:rsidRDefault="00C31E23" w:rsidP="00AA446B">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03490CA6" w14:textId="77777777" w:rsidR="00C31E23" w:rsidRPr="000F4488" w:rsidRDefault="00C31E23" w:rsidP="00AA446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476DF39" w14:textId="77777777" w:rsidR="00C31E23" w:rsidRPr="000F4488" w:rsidRDefault="00C31E23" w:rsidP="00AA446B">
                <w:pPr>
                  <w:pStyle w:val="Copyrightpage-BodyBold"/>
                </w:pPr>
                <w:r w:rsidRPr="000561CF">
                  <w:t>Further information on the Productivity Commission can be obtained from the Commission’s website (www.pc.gov.au).</w:t>
                </w:r>
              </w:p>
              <w:p w14:paraId="7F5E59E8" w14:textId="77777777" w:rsidR="00C31E23" w:rsidRPr="000F4488" w:rsidRDefault="00C31E23" w:rsidP="00AA446B">
                <w:pPr>
                  <w:pStyle w:val="Copyrightpage-Keylinenotext"/>
                  <w:ind w:right="-284"/>
                  <w:rPr>
                    <w:b/>
                    <w:bCs/>
                  </w:rPr>
                </w:pPr>
              </w:p>
              <w:p w14:paraId="61AC2612" w14:textId="77777777" w:rsidR="00C31E23" w:rsidRPr="000561CF" w:rsidRDefault="00C31E23" w:rsidP="00AA446B">
                <w:pPr>
                  <w:pStyle w:val="Copyrightpage-BodyBold"/>
                </w:pPr>
                <w:r w:rsidRPr="00E72EE0">
                  <w:t>©</w:t>
                </w:r>
                <w:r w:rsidRPr="00137FAB">
                  <w:t xml:space="preserve"> Commonwealth of Australia 202</w:t>
                </w:r>
                <w:r w:rsidR="001315EE">
                  <w:t>4</w:t>
                </w:r>
              </w:p>
              <w:p w14:paraId="243D6612" w14:textId="77777777" w:rsidR="00C31E23" w:rsidRPr="00E72EE0" w:rsidRDefault="00C31E23" w:rsidP="00AA446B">
                <w:pPr>
                  <w:pStyle w:val="Copyrightpage-Heading2"/>
                  <w:spacing w:before="0"/>
                  <w:ind w:right="-284"/>
                  <w:rPr>
                    <w:bCs/>
                  </w:rPr>
                </w:pPr>
                <w:r w:rsidRPr="00E72EE0">
                  <w:rPr>
                    <w:bCs/>
                    <w:noProof/>
                  </w:rPr>
                  <w:drawing>
                    <wp:inline distT="0" distB="0" distL="0" distR="0" wp14:anchorId="27483C8D" wp14:editId="1947A532">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28178BC" w14:textId="77777777" w:rsidR="00C31E23" w:rsidRPr="000F4488" w:rsidRDefault="00C31E23" w:rsidP="00AA446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C01A6FB" w14:textId="77777777" w:rsidR="00C31E23" w:rsidRPr="000F4488" w:rsidRDefault="00C31E23" w:rsidP="00AA446B">
                <w:pPr>
                  <w:pStyle w:val="Copyrightpage-BodyBold"/>
                </w:pPr>
                <w:r w:rsidRPr="000561CF">
                  <w:t>The terms under which the Coat of Arms can be used are detailed at: www.pmc.gov.au/government/commonwealth-coat-arms.</w:t>
                </w:r>
              </w:p>
              <w:p w14:paraId="066FA721" w14:textId="77777777" w:rsidR="00C31E23" w:rsidRPr="000561CF" w:rsidRDefault="00C31E23" w:rsidP="00AA446B">
                <w:pPr>
                  <w:pStyle w:val="Copyrightpage-BodyBold"/>
                </w:pPr>
                <w:r w:rsidRPr="000561CF">
                  <w:t>Wherever a third party holds copyright in this material the copyright remains with that party. Their permission may be required to use the material, please contact them directly.</w:t>
                </w:r>
              </w:p>
              <w:p w14:paraId="25C6A236" w14:textId="58F63BD2" w:rsidR="00C31E23" w:rsidRPr="006164BF" w:rsidRDefault="00C31E23" w:rsidP="006164BF">
                <w:pPr>
                  <w:pStyle w:val="Copyrightpage-BodyBold"/>
                  <w:rPr>
                    <w:i/>
                    <w:iCs/>
                  </w:rPr>
                </w:pPr>
                <w:r w:rsidRPr="000F4488">
                  <w:t xml:space="preserve">An appropriate reference for this </w:t>
                </w:r>
                <w:r w:rsidR="00BB70DB">
                  <w:t>submission</w:t>
                </w:r>
                <w:r w:rsidRPr="000F4488">
                  <w:t xml:space="preserve"> is:</w:t>
                </w:r>
                <w:r>
                  <w:br/>
                </w:r>
                <w:r w:rsidR="004C0B10">
                  <w:t>Productivity Commission</w:t>
                </w:r>
                <w:r w:rsidR="00BB70DB">
                  <w:t xml:space="preserve"> 2024</w:t>
                </w:r>
                <w:r w:rsidR="004C0B10">
                  <w:t>,</w:t>
                </w:r>
                <w:r w:rsidR="006164BF">
                  <w:t xml:space="preserve"> </w:t>
                </w:r>
                <w:r w:rsidR="006164BF" w:rsidRPr="006164BF">
                  <w:rPr>
                    <w:i/>
                    <w:iCs/>
                  </w:rPr>
                  <w:t>Submission to the</w:t>
                </w:r>
                <w:r w:rsidR="00BB70DB">
                  <w:t xml:space="preserve"> </w:t>
                </w:r>
                <w:r w:rsidR="006164BF" w:rsidRPr="006164BF">
                  <w:rPr>
                    <w:i/>
                    <w:iCs/>
                  </w:rPr>
                  <w:t>Future Made in Australia Bill 2024 [Provisions] and the Future Made in Australia (Omnibus Amendments No. 1) Bill 2024 [Provisions] (FMIA)</w:t>
                </w:r>
                <w:r w:rsidR="00BB70DB">
                  <w:t>,</w:t>
                </w:r>
                <w:r w:rsidR="004C0B10">
                  <w:t xml:space="preserve"> </w:t>
                </w:r>
                <w:r w:rsidR="00BF3E01">
                  <w:t>Canberra</w:t>
                </w:r>
              </w:p>
              <w:p w14:paraId="38E9E65E" w14:textId="77777777" w:rsidR="00C31E23" w:rsidRDefault="00C31E23" w:rsidP="00AA446B">
                <w:pPr>
                  <w:pStyle w:val="Copyrightpage-BodyBold"/>
                  <w:ind w:right="-284"/>
                </w:pPr>
                <w:r w:rsidRPr="00E72EE0">
                  <w:t xml:space="preserve">Publication enquiries: </w:t>
                </w:r>
                <w:r>
                  <w:br/>
                </w:r>
                <w:r w:rsidR="00D4407B">
                  <w:t>P</w:t>
                </w:r>
                <w:r w:rsidRPr="00137FAB">
                  <w:t xml:space="preserve">hone 03 9653 2244 | </w:t>
                </w:r>
                <w:r w:rsidR="00D4407B">
                  <w:t>E</w:t>
                </w:r>
                <w:r w:rsidRPr="00137FAB">
                  <w:t xml:space="preserve">mail </w:t>
                </w:r>
                <w:r w:rsidRPr="00AC587D">
                  <w:t>publications@pc.gov.au</w:t>
                </w:r>
              </w:p>
            </w:tc>
          </w:tr>
        </w:tbl>
        <w:p w14:paraId="6B98A833"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3992A572" w14:textId="4A119B87" w:rsidR="00056800" w:rsidRPr="00056800" w:rsidRDefault="00056800" w:rsidP="00056800">
      <w:pPr>
        <w:pStyle w:val="BodyText"/>
      </w:pPr>
      <w:r w:rsidRPr="00056800">
        <w:lastRenderedPageBreak/>
        <w:t>The Productivity Commission welcomes the opportunity to make this submission to the Senate Economics Legislation Committee inquiry into the Future Made in Australia Bill 2024 [Provisions] (the FMIA Bill) and Future Made in Australia (Omnibus Amendment s No.1) Bill 2024 [Provision</w:t>
      </w:r>
      <w:r w:rsidR="002A4211">
        <w:t>s</w:t>
      </w:r>
      <w:r w:rsidR="000C6A8B" w:rsidRPr="00056800">
        <w:t>].</w:t>
      </w:r>
    </w:p>
    <w:p w14:paraId="49E1D2B1" w14:textId="36AD6209" w:rsidR="00056800" w:rsidRPr="00056800" w:rsidRDefault="00056800" w:rsidP="00056800">
      <w:pPr>
        <w:pStyle w:val="BodyText"/>
      </w:pPr>
      <w:r w:rsidRPr="00056800">
        <w:t xml:space="preserve">The Commission has </w:t>
      </w:r>
      <w:r w:rsidR="0036610E">
        <w:t>published</w:t>
      </w:r>
      <w:r w:rsidR="000C6A8B">
        <w:t xml:space="preserve"> </w:t>
      </w:r>
      <w:r w:rsidR="000C6A8B" w:rsidRPr="00056800">
        <w:t>several</w:t>
      </w:r>
      <w:r w:rsidRPr="00056800">
        <w:t xml:space="preserve"> reports</w:t>
      </w:r>
      <w:r w:rsidR="00525649">
        <w:t xml:space="preserve"> and speeches</w:t>
      </w:r>
      <w:r w:rsidRPr="00056800">
        <w:t xml:space="preserve"> over recent years analysing industry assistance, including within the context of some of the market failures that the Future Made in Australia (FMIA) program seeks to address. These include Vulnerable Supply Chains (2021), the Productivity Inquiry (2023), Optimal Industry Policy (2023), and the 2021-22 and 2022-23 editions of the Trade and Assistance Review – the Commission’s annual stocktake of industry assistance in Australia.</w:t>
      </w:r>
    </w:p>
    <w:p w14:paraId="775CA6B1" w14:textId="4DB81A58" w:rsidR="00056800" w:rsidRPr="00056800" w:rsidRDefault="00056800" w:rsidP="00056800">
      <w:pPr>
        <w:pStyle w:val="BodyText"/>
      </w:pPr>
      <w:r w:rsidRPr="00056800">
        <w:t>More broadly, the Commission and its predecessor bodies (the Industry Assistance Commission and the Industry Commission) have a long history of measuring, reporting, and making recommendations on industry assistance in Australia.</w:t>
      </w:r>
    </w:p>
    <w:p w14:paraId="3873BEB3" w14:textId="1A51F901" w:rsidR="00056800" w:rsidRPr="00B46152" w:rsidRDefault="00056800" w:rsidP="00056800">
      <w:pPr>
        <w:pStyle w:val="BodyText"/>
        <w:rPr>
          <w:spacing w:val="-2"/>
        </w:rPr>
      </w:pPr>
      <w:r w:rsidRPr="00B46152">
        <w:rPr>
          <w:spacing w:val="-2"/>
        </w:rPr>
        <w:t>The FMIA program is proposed in the context of major shifts in the broader economic environment, including the net zero transition and growing geoeconomic fragmentation. It aims to build supply chain resilience, encourage domestic emissions abatement, and position Australia to benefit from the global net-zero transition.</w:t>
      </w:r>
    </w:p>
    <w:p w14:paraId="4B67B02B" w14:textId="0158BF9C" w:rsidR="00056800" w:rsidRPr="00CB46AE" w:rsidRDefault="00056800" w:rsidP="00056800">
      <w:pPr>
        <w:pStyle w:val="BodyText"/>
        <w:rPr>
          <w:spacing w:val="2"/>
        </w:rPr>
      </w:pPr>
      <w:r w:rsidRPr="00CB46AE">
        <w:rPr>
          <w:spacing w:val="2"/>
        </w:rPr>
        <w:t xml:space="preserve">Careful policy design and implementation will be critical to the management of key risks, however. If poorly designed, industry policy such as the FMIA can be costly for governments, act as a form of trade protection, and distort the allocation of Australia's scarce resources towards activities that Australia is not </w:t>
      </w:r>
      <w:r w:rsidR="00DD152A">
        <w:rPr>
          <w:spacing w:val="2"/>
        </w:rPr>
        <w:t>best</w:t>
      </w:r>
      <w:r w:rsidRPr="00CB46AE">
        <w:rPr>
          <w:spacing w:val="2"/>
        </w:rPr>
        <w:t xml:space="preserve"> placed to undertake.</w:t>
      </w:r>
    </w:p>
    <w:p w14:paraId="63DE44F9" w14:textId="64D35432" w:rsidR="00056800" w:rsidRPr="00056800" w:rsidRDefault="00056800" w:rsidP="00056800">
      <w:pPr>
        <w:pStyle w:val="BodyText"/>
      </w:pPr>
      <w:r w:rsidRPr="00056800">
        <w:t>The Commission’s advice is provided in the hope of managing such risks.</w:t>
      </w:r>
    </w:p>
    <w:p w14:paraId="6108FF1D" w14:textId="77777777" w:rsidR="00056800" w:rsidRPr="00056800" w:rsidRDefault="00056800" w:rsidP="00C639AF">
      <w:pPr>
        <w:pStyle w:val="Heading3"/>
        <w:rPr>
          <w:noProof/>
        </w:rPr>
      </w:pPr>
      <w:r w:rsidRPr="00056800">
        <w:rPr>
          <w:noProof/>
        </w:rPr>
        <w:t>The inclusion of the National Interest Framework in the FMIA Bill is welcome </w:t>
      </w:r>
    </w:p>
    <w:p w14:paraId="312FE2A3" w14:textId="67BDF1BA" w:rsidR="00056800" w:rsidRPr="00056800" w:rsidRDefault="00056800" w:rsidP="00C639AF">
      <w:pPr>
        <w:pStyle w:val="BodyText"/>
      </w:pPr>
      <w:r w:rsidRPr="00056800">
        <w:t>The Commission’s body of work on industry assistance points to the importance of using clear and robust policy frameworks to inform interventions to ensure compelling value for money.</w:t>
      </w:r>
    </w:p>
    <w:p w14:paraId="15165EA9" w14:textId="05C87527" w:rsidR="00056800" w:rsidRPr="00056800" w:rsidRDefault="00056800" w:rsidP="00C639AF">
      <w:pPr>
        <w:pStyle w:val="BodyText"/>
      </w:pPr>
      <w:r w:rsidRPr="00056800">
        <w:t>The Commission welcomes the Australian Government’s adoption of a clear framework – the National Interest Framework (NIF) – to assess sectoral interventions under the FMIA program.</w:t>
      </w:r>
    </w:p>
    <w:p w14:paraId="163A2BE6" w14:textId="115EB4D5" w:rsidR="00056800" w:rsidRPr="00056800" w:rsidRDefault="00056800" w:rsidP="00C639AF">
      <w:pPr>
        <w:pStyle w:val="BodyText"/>
      </w:pPr>
      <w:r w:rsidRPr="00056800">
        <w:t>The NIF</w:t>
      </w:r>
      <w:r w:rsidR="005B5C09">
        <w:t>,</w:t>
      </w:r>
      <w:r w:rsidR="007D158F">
        <w:t xml:space="preserve"> as</w:t>
      </w:r>
      <w:r w:rsidR="00337190" w:rsidRPr="00056800">
        <w:rPr>
          <w:bCs/>
          <w:noProof/>
        </w:rPr>
        <w:t xml:space="preserve"> outlined in the </w:t>
      </w:r>
      <w:r w:rsidR="00337190" w:rsidRPr="00056800">
        <w:rPr>
          <w:bCs/>
          <w:i/>
          <w:iCs/>
          <w:noProof/>
        </w:rPr>
        <w:t>Future Made in Australia National Interest Framework Supporting Paper</w:t>
      </w:r>
      <w:r w:rsidR="00337190" w:rsidRPr="00056800">
        <w:rPr>
          <w:bCs/>
          <w:noProof/>
        </w:rPr>
        <w:t xml:space="preserve"> </w:t>
      </w:r>
      <w:r w:rsidR="007B6735">
        <w:rPr>
          <w:bCs/>
          <w:noProof/>
        </w:rPr>
        <w:t xml:space="preserve">(the Supporting Paper) </w:t>
      </w:r>
      <w:r w:rsidR="00337190" w:rsidRPr="00056800">
        <w:rPr>
          <w:bCs/>
          <w:noProof/>
        </w:rPr>
        <w:t>published in May 2024</w:t>
      </w:r>
      <w:r w:rsidR="00337190">
        <w:rPr>
          <w:rStyle w:val="FootnoteReference"/>
          <w:bCs/>
          <w:noProof/>
        </w:rPr>
        <w:footnoteReference w:id="2"/>
      </w:r>
      <w:r w:rsidR="00337190" w:rsidRPr="00056800">
        <w:rPr>
          <w:bCs/>
          <w:noProof/>
        </w:rPr>
        <w:t xml:space="preserve">, </w:t>
      </w:r>
      <w:r w:rsidRPr="00056800">
        <w:t xml:space="preserve">provides for the allocation of FMIA funding under two streams – the </w:t>
      </w:r>
      <w:r w:rsidR="005412D8">
        <w:t>n</w:t>
      </w:r>
      <w:r w:rsidR="005412D8" w:rsidRPr="00056800">
        <w:t xml:space="preserve">et </w:t>
      </w:r>
      <w:r w:rsidR="005412D8">
        <w:t>z</w:t>
      </w:r>
      <w:r w:rsidRPr="00056800">
        <w:t xml:space="preserve">ero </w:t>
      </w:r>
      <w:r w:rsidR="005412D8">
        <w:t>t</w:t>
      </w:r>
      <w:r w:rsidRPr="00056800">
        <w:t xml:space="preserve">ransformation stream and the </w:t>
      </w:r>
      <w:r w:rsidR="005412D8">
        <w:t>e</w:t>
      </w:r>
      <w:r w:rsidRPr="00056800">
        <w:t xml:space="preserve">conomic </w:t>
      </w:r>
      <w:r w:rsidR="005412D8">
        <w:t>r</w:t>
      </w:r>
      <w:r w:rsidRPr="00056800">
        <w:t xml:space="preserve">esilience and </w:t>
      </w:r>
      <w:r w:rsidR="005412D8">
        <w:t>s</w:t>
      </w:r>
      <w:r w:rsidRPr="00056800">
        <w:t>ecurity stream</w:t>
      </w:r>
      <w:r w:rsidR="00E061AA">
        <w:t>.</w:t>
      </w:r>
    </w:p>
    <w:p w14:paraId="50B2DA5D" w14:textId="7C47A6A9" w:rsidR="00056800" w:rsidRPr="00056800" w:rsidRDefault="00FF7965" w:rsidP="00C639AF">
      <w:pPr>
        <w:pStyle w:val="ListBullet"/>
        <w:rPr>
          <w:noProof/>
        </w:rPr>
      </w:pPr>
      <w:r>
        <w:rPr>
          <w:noProof/>
        </w:rPr>
        <w:t xml:space="preserve">A sector </w:t>
      </w:r>
      <w:r w:rsidR="002E7776">
        <w:rPr>
          <w:noProof/>
        </w:rPr>
        <w:t>could qualify for support</w:t>
      </w:r>
      <w:r w:rsidR="00A65CFE">
        <w:rPr>
          <w:noProof/>
        </w:rPr>
        <w:t xml:space="preserve"> under</w:t>
      </w:r>
      <w:r w:rsidR="00056800" w:rsidRPr="00056800">
        <w:rPr>
          <w:noProof/>
        </w:rPr>
        <w:t xml:space="preserve"> the </w:t>
      </w:r>
      <w:r w:rsidR="005412D8">
        <w:rPr>
          <w:noProof/>
        </w:rPr>
        <w:t>n</w:t>
      </w:r>
      <w:r w:rsidR="00056800" w:rsidRPr="00056800">
        <w:rPr>
          <w:noProof/>
        </w:rPr>
        <w:t xml:space="preserve">et </w:t>
      </w:r>
      <w:r w:rsidR="005412D8">
        <w:rPr>
          <w:noProof/>
        </w:rPr>
        <w:t>z</w:t>
      </w:r>
      <w:r w:rsidR="00056800" w:rsidRPr="00056800">
        <w:rPr>
          <w:noProof/>
        </w:rPr>
        <w:t xml:space="preserve">ero </w:t>
      </w:r>
      <w:r w:rsidR="005412D8">
        <w:rPr>
          <w:noProof/>
        </w:rPr>
        <w:t>t</w:t>
      </w:r>
      <w:r w:rsidR="00056800" w:rsidRPr="00056800">
        <w:rPr>
          <w:noProof/>
        </w:rPr>
        <w:t xml:space="preserve">ransformation stream </w:t>
      </w:r>
      <w:r w:rsidR="00F3239A">
        <w:rPr>
          <w:noProof/>
        </w:rPr>
        <w:t xml:space="preserve">if it </w:t>
      </w:r>
      <w:r w:rsidR="003D6F47">
        <w:rPr>
          <w:noProof/>
        </w:rPr>
        <w:t>was</w:t>
      </w:r>
      <w:r w:rsidR="00056800" w:rsidRPr="00056800">
        <w:rPr>
          <w:noProof/>
        </w:rPr>
        <w:t xml:space="preserve"> </w:t>
      </w:r>
      <w:r w:rsidR="00C9361E">
        <w:rPr>
          <w:noProof/>
        </w:rPr>
        <w:t>judged</w:t>
      </w:r>
      <w:r w:rsidR="00056800" w:rsidRPr="00056800">
        <w:rPr>
          <w:noProof/>
        </w:rPr>
        <w:t xml:space="preserve"> to have </w:t>
      </w:r>
      <w:r w:rsidR="009D5949">
        <w:rPr>
          <w:noProof/>
        </w:rPr>
        <w:t>grounds for</w:t>
      </w:r>
      <w:r w:rsidR="00056800" w:rsidRPr="00056800">
        <w:rPr>
          <w:noProof/>
        </w:rPr>
        <w:t xml:space="preserve"> sustained comparative advantage in a net zero </w:t>
      </w:r>
      <w:r w:rsidR="004C5DE0">
        <w:rPr>
          <w:noProof/>
        </w:rPr>
        <w:t xml:space="preserve">global </w:t>
      </w:r>
      <w:r w:rsidR="00056800" w:rsidRPr="00056800">
        <w:rPr>
          <w:noProof/>
        </w:rPr>
        <w:t xml:space="preserve">economy, and </w:t>
      </w:r>
      <w:r w:rsidR="00650744">
        <w:rPr>
          <w:noProof/>
        </w:rPr>
        <w:t xml:space="preserve">if </w:t>
      </w:r>
      <w:r w:rsidR="001820C8">
        <w:rPr>
          <w:noProof/>
        </w:rPr>
        <w:t xml:space="preserve">public investment </w:t>
      </w:r>
      <w:r w:rsidR="00A17F91">
        <w:rPr>
          <w:noProof/>
        </w:rPr>
        <w:t>was</w:t>
      </w:r>
      <w:r w:rsidR="00EE13DB">
        <w:rPr>
          <w:noProof/>
        </w:rPr>
        <w:t xml:space="preserve"> judged to be necessary</w:t>
      </w:r>
      <w:r w:rsidR="001820C8">
        <w:rPr>
          <w:noProof/>
        </w:rPr>
        <w:t xml:space="preserve"> </w:t>
      </w:r>
      <w:r w:rsidR="004B1ED7">
        <w:rPr>
          <w:noProof/>
        </w:rPr>
        <w:t xml:space="preserve">for the sector to </w:t>
      </w:r>
      <w:r w:rsidR="00302A7B">
        <w:rPr>
          <w:noProof/>
        </w:rPr>
        <w:t>make a significant con</w:t>
      </w:r>
      <w:r w:rsidR="006C0FF3">
        <w:rPr>
          <w:noProof/>
        </w:rPr>
        <w:t>tribution to emissions reduction at an efficient cost.</w:t>
      </w:r>
    </w:p>
    <w:p w14:paraId="78700A62" w14:textId="0A0F2CCC" w:rsidR="00056800" w:rsidRPr="00056800" w:rsidRDefault="00F3239A" w:rsidP="00C639AF">
      <w:pPr>
        <w:pStyle w:val="ListBullet"/>
        <w:rPr>
          <w:noProof/>
        </w:rPr>
      </w:pPr>
      <w:r>
        <w:rPr>
          <w:noProof/>
        </w:rPr>
        <w:t>A sector</w:t>
      </w:r>
      <w:r w:rsidR="00260DD5">
        <w:rPr>
          <w:noProof/>
        </w:rPr>
        <w:t xml:space="preserve"> could qualify for </w:t>
      </w:r>
      <w:r w:rsidR="00F165EB">
        <w:rPr>
          <w:noProof/>
        </w:rPr>
        <w:t>support</w:t>
      </w:r>
      <w:r>
        <w:rPr>
          <w:noProof/>
        </w:rPr>
        <w:t xml:space="preserve"> </w:t>
      </w:r>
      <w:r w:rsidR="00A65CFE">
        <w:rPr>
          <w:noProof/>
        </w:rPr>
        <w:t>under</w:t>
      </w:r>
      <w:r w:rsidR="00056800" w:rsidRPr="00056800">
        <w:rPr>
          <w:noProof/>
        </w:rPr>
        <w:t xml:space="preserve"> the </w:t>
      </w:r>
      <w:r w:rsidR="005412D8">
        <w:rPr>
          <w:noProof/>
        </w:rPr>
        <w:t>e</w:t>
      </w:r>
      <w:r w:rsidR="00056800" w:rsidRPr="00056800">
        <w:rPr>
          <w:noProof/>
        </w:rPr>
        <w:t xml:space="preserve">conomic </w:t>
      </w:r>
      <w:r w:rsidR="005412D8">
        <w:rPr>
          <w:noProof/>
        </w:rPr>
        <w:t>r</w:t>
      </w:r>
      <w:r w:rsidR="00056800" w:rsidRPr="00056800">
        <w:rPr>
          <w:noProof/>
        </w:rPr>
        <w:t xml:space="preserve">esilience and </w:t>
      </w:r>
      <w:r w:rsidR="005412D8">
        <w:rPr>
          <w:noProof/>
        </w:rPr>
        <w:t>s</w:t>
      </w:r>
      <w:r w:rsidR="00056800" w:rsidRPr="00056800">
        <w:rPr>
          <w:noProof/>
        </w:rPr>
        <w:t>ecurity stream</w:t>
      </w:r>
      <w:r w:rsidR="008940A5">
        <w:rPr>
          <w:noProof/>
        </w:rPr>
        <w:t xml:space="preserve"> if</w:t>
      </w:r>
      <w:r w:rsidR="00F1040F">
        <w:rPr>
          <w:noProof/>
        </w:rPr>
        <w:t xml:space="preserve"> </w:t>
      </w:r>
      <w:r w:rsidR="00452C4B">
        <w:rPr>
          <w:noProof/>
        </w:rPr>
        <w:t xml:space="preserve">some level of </w:t>
      </w:r>
      <w:r w:rsidR="005A1AEF">
        <w:rPr>
          <w:noProof/>
        </w:rPr>
        <w:t xml:space="preserve">domestic production capability </w:t>
      </w:r>
      <w:r w:rsidR="008924FD">
        <w:rPr>
          <w:noProof/>
        </w:rPr>
        <w:t>was</w:t>
      </w:r>
      <w:r w:rsidR="00454B0A">
        <w:rPr>
          <w:noProof/>
        </w:rPr>
        <w:t xml:space="preserve"> judged</w:t>
      </w:r>
      <w:r w:rsidR="005E22F9">
        <w:rPr>
          <w:noProof/>
        </w:rPr>
        <w:t xml:space="preserve"> necessary or efficient </w:t>
      </w:r>
      <w:r w:rsidR="00176DA9">
        <w:rPr>
          <w:noProof/>
        </w:rPr>
        <w:t xml:space="preserve">to </w:t>
      </w:r>
      <w:r w:rsidR="00AC79DB">
        <w:rPr>
          <w:noProof/>
        </w:rPr>
        <w:t xml:space="preserve">deliver adequate </w:t>
      </w:r>
      <w:r w:rsidR="00392E16">
        <w:rPr>
          <w:noProof/>
        </w:rPr>
        <w:t>economic resilience and security</w:t>
      </w:r>
      <w:r w:rsidR="001516F0">
        <w:rPr>
          <w:noProof/>
        </w:rPr>
        <w:t>;</w:t>
      </w:r>
      <w:r w:rsidR="00185137">
        <w:rPr>
          <w:noProof/>
        </w:rPr>
        <w:t xml:space="preserve"> if </w:t>
      </w:r>
      <w:r w:rsidR="007A29A2">
        <w:rPr>
          <w:noProof/>
        </w:rPr>
        <w:t>a d</w:t>
      </w:r>
      <w:r w:rsidR="00E839A5">
        <w:rPr>
          <w:noProof/>
        </w:rPr>
        <w:t>i</w:t>
      </w:r>
      <w:r w:rsidR="007A29A2">
        <w:rPr>
          <w:noProof/>
        </w:rPr>
        <w:t>sruption</w:t>
      </w:r>
      <w:r w:rsidR="003448CD">
        <w:rPr>
          <w:noProof/>
        </w:rPr>
        <w:t xml:space="preserve"> to </w:t>
      </w:r>
      <w:r w:rsidR="00A32C6F">
        <w:rPr>
          <w:noProof/>
        </w:rPr>
        <w:t xml:space="preserve">supply of that good or service </w:t>
      </w:r>
      <w:r w:rsidR="00366D0D">
        <w:rPr>
          <w:noProof/>
        </w:rPr>
        <w:t>was judged to have u</w:t>
      </w:r>
      <w:r w:rsidR="001025B6">
        <w:rPr>
          <w:noProof/>
        </w:rPr>
        <w:t xml:space="preserve">nacceptably high impacts on </w:t>
      </w:r>
      <w:r w:rsidR="0016007F">
        <w:rPr>
          <w:noProof/>
        </w:rPr>
        <w:t>safety, economic stability,</w:t>
      </w:r>
      <w:r w:rsidR="00E56CAA">
        <w:rPr>
          <w:noProof/>
        </w:rPr>
        <w:t xml:space="preserve"> or wellbeing</w:t>
      </w:r>
      <w:r w:rsidR="001516F0">
        <w:rPr>
          <w:noProof/>
        </w:rPr>
        <w:t>;</w:t>
      </w:r>
      <w:r w:rsidR="0056207C">
        <w:rPr>
          <w:noProof/>
        </w:rPr>
        <w:t xml:space="preserve"> if </w:t>
      </w:r>
      <w:r w:rsidR="0098642A">
        <w:rPr>
          <w:noProof/>
        </w:rPr>
        <w:t>the private sector would not invest</w:t>
      </w:r>
      <w:r w:rsidR="003721C9">
        <w:rPr>
          <w:noProof/>
        </w:rPr>
        <w:t xml:space="preserve"> in this capability withou</w:t>
      </w:r>
      <w:r w:rsidR="00400833">
        <w:rPr>
          <w:noProof/>
        </w:rPr>
        <w:t>t</w:t>
      </w:r>
      <w:r w:rsidR="003721C9">
        <w:rPr>
          <w:noProof/>
        </w:rPr>
        <w:t xml:space="preserve"> </w:t>
      </w:r>
      <w:r w:rsidR="0078601E">
        <w:rPr>
          <w:noProof/>
        </w:rPr>
        <w:t>public investment</w:t>
      </w:r>
      <w:r w:rsidR="001516F0">
        <w:rPr>
          <w:noProof/>
        </w:rPr>
        <w:t>;</w:t>
      </w:r>
      <w:r w:rsidR="00F53BE5">
        <w:rPr>
          <w:noProof/>
        </w:rPr>
        <w:t xml:space="preserve"> and</w:t>
      </w:r>
      <w:r w:rsidR="00056800" w:rsidRPr="00056800" w:rsidDel="00F53BE5">
        <w:rPr>
          <w:noProof/>
        </w:rPr>
        <w:t xml:space="preserve"> </w:t>
      </w:r>
      <w:r w:rsidR="00D50552">
        <w:rPr>
          <w:noProof/>
        </w:rPr>
        <w:t>if th</w:t>
      </w:r>
      <w:r w:rsidR="00823D67">
        <w:rPr>
          <w:noProof/>
        </w:rPr>
        <w:t>at</w:t>
      </w:r>
      <w:r w:rsidR="00D50552">
        <w:rPr>
          <w:noProof/>
        </w:rPr>
        <w:t xml:space="preserve"> </w:t>
      </w:r>
      <w:r w:rsidR="0078601E">
        <w:rPr>
          <w:noProof/>
        </w:rPr>
        <w:t>public investment</w:t>
      </w:r>
      <w:r w:rsidR="00056800" w:rsidRPr="00056800">
        <w:rPr>
          <w:noProof/>
        </w:rPr>
        <w:t xml:space="preserve"> could </w:t>
      </w:r>
      <w:r w:rsidR="00114FA2">
        <w:rPr>
          <w:noProof/>
        </w:rPr>
        <w:t xml:space="preserve">address the risks to </w:t>
      </w:r>
      <w:r w:rsidR="0055158D">
        <w:rPr>
          <w:noProof/>
        </w:rPr>
        <w:t>economic security and resilience</w:t>
      </w:r>
      <w:r w:rsidR="00056800" w:rsidRPr="00056800">
        <w:rPr>
          <w:noProof/>
        </w:rPr>
        <w:t xml:space="preserve"> in a way that </w:t>
      </w:r>
      <w:r w:rsidR="0055158D" w:rsidRPr="00056800">
        <w:rPr>
          <w:noProof/>
        </w:rPr>
        <w:t>represent</w:t>
      </w:r>
      <w:r w:rsidR="00BD2E5D">
        <w:rPr>
          <w:noProof/>
        </w:rPr>
        <w:t>ed</w:t>
      </w:r>
      <w:r w:rsidR="0055158D" w:rsidRPr="00056800">
        <w:rPr>
          <w:noProof/>
        </w:rPr>
        <w:t xml:space="preserve"> </w:t>
      </w:r>
      <w:r w:rsidR="00483A69">
        <w:rPr>
          <w:noProof/>
        </w:rPr>
        <w:t>‘</w:t>
      </w:r>
      <w:r w:rsidR="00056800" w:rsidRPr="00056800">
        <w:rPr>
          <w:noProof/>
        </w:rPr>
        <w:t xml:space="preserve">compelling </w:t>
      </w:r>
      <w:r w:rsidR="00F64148">
        <w:rPr>
          <w:noProof/>
        </w:rPr>
        <w:t xml:space="preserve">public </w:t>
      </w:r>
      <w:r w:rsidR="00056800" w:rsidRPr="00056800">
        <w:rPr>
          <w:noProof/>
        </w:rPr>
        <w:t>value</w:t>
      </w:r>
      <w:r w:rsidR="00483A69">
        <w:rPr>
          <w:noProof/>
        </w:rPr>
        <w:t>’</w:t>
      </w:r>
      <w:r w:rsidR="0001606D">
        <w:rPr>
          <w:noProof/>
        </w:rPr>
        <w:t>.</w:t>
      </w:r>
    </w:p>
    <w:p w14:paraId="4B15BA09" w14:textId="140A33B3" w:rsidR="00056800" w:rsidRPr="00056800" w:rsidRDefault="00056800" w:rsidP="00B14DAB">
      <w:pPr>
        <w:spacing w:before="0" w:after="160" w:line="259" w:lineRule="auto"/>
        <w:rPr>
          <w:noProof/>
        </w:rPr>
      </w:pPr>
      <w:r w:rsidRPr="00056800">
        <w:rPr>
          <w:bCs/>
          <w:noProof/>
          <w:spacing w:val="2"/>
        </w:rPr>
        <w:lastRenderedPageBreak/>
        <w:t>The Commission particularly welcomes the emphasis on the efficient delivery of policy objectives</w:t>
      </w:r>
      <w:r w:rsidR="00871345">
        <w:rPr>
          <w:bCs/>
          <w:noProof/>
          <w:spacing w:val="2"/>
        </w:rPr>
        <w:t xml:space="preserve">, and </w:t>
      </w:r>
      <w:r w:rsidRPr="00056800">
        <w:rPr>
          <w:noProof/>
        </w:rPr>
        <w:t>the additional detail</w:t>
      </w:r>
      <w:r w:rsidR="008402CC">
        <w:rPr>
          <w:noProof/>
        </w:rPr>
        <w:t xml:space="preserve"> provided by the Supporting Paper</w:t>
      </w:r>
      <w:r w:rsidRPr="00056800">
        <w:rPr>
          <w:noProof/>
        </w:rPr>
        <w:t xml:space="preserve"> on the operationalisation of these tests, including:</w:t>
      </w:r>
    </w:p>
    <w:p w14:paraId="1B8EBD9E" w14:textId="0613BA16" w:rsidR="00056800" w:rsidRPr="00056800" w:rsidRDefault="00056800" w:rsidP="00C639AF">
      <w:pPr>
        <w:pStyle w:val="ListBullet"/>
        <w:rPr>
          <w:noProof/>
        </w:rPr>
      </w:pPr>
      <w:r w:rsidRPr="00056800">
        <w:rPr>
          <w:noProof/>
        </w:rPr>
        <w:t>identifying the main policy rationales for government financial support to a sector, including where assistance is necessary to indirectly price externalities at efficient levels, and to support activities that efficiently build economic resilience</w:t>
      </w:r>
    </w:p>
    <w:p w14:paraId="4E0D21C7" w14:textId="4B66580C" w:rsidR="00056800" w:rsidRPr="00056800" w:rsidRDefault="00056800" w:rsidP="00C639AF">
      <w:pPr>
        <w:pStyle w:val="ListBullet"/>
        <w:rPr>
          <w:noProof/>
        </w:rPr>
      </w:pPr>
      <w:r w:rsidRPr="00056800">
        <w:rPr>
          <w:noProof/>
        </w:rPr>
        <w:t>ensuring financial support is only offered when it delivers compelling public value relative to alternative approaches such as including industry-led solutions, trade partnerships, regulatory approaches or international supply agreements</w:t>
      </w:r>
      <w:r w:rsidR="00B607F9">
        <w:rPr>
          <w:noProof/>
        </w:rPr>
        <w:t>.</w:t>
      </w:r>
    </w:p>
    <w:p w14:paraId="68D59ECA" w14:textId="4FDB2C12" w:rsidR="00056800" w:rsidRDefault="00056800" w:rsidP="00056800">
      <w:pPr>
        <w:pStyle w:val="BodyText"/>
        <w:rPr>
          <w:bCs/>
          <w:noProof/>
        </w:rPr>
      </w:pPr>
      <w:r w:rsidRPr="00056800">
        <w:rPr>
          <w:bCs/>
          <w:noProof/>
        </w:rPr>
        <w:t xml:space="preserve">The Commission considers </w:t>
      </w:r>
      <w:r w:rsidR="00F77C74">
        <w:rPr>
          <w:bCs/>
          <w:noProof/>
        </w:rPr>
        <w:t xml:space="preserve">that </w:t>
      </w:r>
      <w:r w:rsidRPr="00056800">
        <w:rPr>
          <w:bCs/>
          <w:noProof/>
        </w:rPr>
        <w:t>these tests will help ensur</w:t>
      </w:r>
      <w:r w:rsidR="00D97541">
        <w:rPr>
          <w:bCs/>
          <w:noProof/>
        </w:rPr>
        <w:t>e</w:t>
      </w:r>
      <w:r w:rsidRPr="00056800">
        <w:rPr>
          <w:bCs/>
          <w:noProof/>
        </w:rPr>
        <w:t xml:space="preserve"> that FMIA support is targeted to policy goals, is more likely to be an effective use of public money, and is more likely to only divert resources from other industries where there is compelling public value to be gained over competing uses.</w:t>
      </w:r>
    </w:p>
    <w:p w14:paraId="6BB7DED5" w14:textId="5FCDE67C" w:rsidR="00A57D0A" w:rsidRPr="00056800" w:rsidRDefault="00FD5F93" w:rsidP="00056800">
      <w:pPr>
        <w:pStyle w:val="BodyText"/>
        <w:rPr>
          <w:bCs/>
          <w:noProof/>
        </w:rPr>
      </w:pPr>
      <w:r>
        <w:rPr>
          <w:bCs/>
          <w:noProof/>
        </w:rPr>
        <w:t>For th</w:t>
      </w:r>
      <w:r w:rsidR="00C60590">
        <w:rPr>
          <w:bCs/>
          <w:noProof/>
        </w:rPr>
        <w:t>ese</w:t>
      </w:r>
      <w:r>
        <w:rPr>
          <w:bCs/>
          <w:noProof/>
        </w:rPr>
        <w:t xml:space="preserve"> reason</w:t>
      </w:r>
      <w:r w:rsidR="00C60590">
        <w:rPr>
          <w:bCs/>
          <w:noProof/>
        </w:rPr>
        <w:t>s</w:t>
      </w:r>
      <w:r>
        <w:rPr>
          <w:bCs/>
          <w:noProof/>
        </w:rPr>
        <w:t>, t</w:t>
      </w:r>
      <w:r w:rsidR="00A57D0A">
        <w:rPr>
          <w:bCs/>
          <w:noProof/>
        </w:rPr>
        <w:t xml:space="preserve">he </w:t>
      </w:r>
      <w:r w:rsidR="00E515B6">
        <w:rPr>
          <w:bCs/>
          <w:noProof/>
        </w:rPr>
        <w:t>Commission welcomes the incorporation of the NIF in</w:t>
      </w:r>
      <w:r>
        <w:rPr>
          <w:bCs/>
          <w:noProof/>
        </w:rPr>
        <w:t>to</w:t>
      </w:r>
      <w:r w:rsidR="00E515B6">
        <w:rPr>
          <w:bCs/>
          <w:noProof/>
        </w:rPr>
        <w:t xml:space="preserve"> the FMIA </w:t>
      </w:r>
      <w:r w:rsidR="00855258">
        <w:rPr>
          <w:bCs/>
          <w:noProof/>
        </w:rPr>
        <w:t>Bill</w:t>
      </w:r>
      <w:r w:rsidR="00AC707B">
        <w:rPr>
          <w:bCs/>
          <w:noProof/>
        </w:rPr>
        <w:t>.</w:t>
      </w:r>
    </w:p>
    <w:p w14:paraId="6639A0DE" w14:textId="62ADF945" w:rsidR="00056800" w:rsidRPr="00056800" w:rsidRDefault="00056800" w:rsidP="00C639AF">
      <w:pPr>
        <w:pStyle w:val="Heading3"/>
        <w:rPr>
          <w:noProof/>
        </w:rPr>
      </w:pPr>
      <w:r w:rsidRPr="00056800">
        <w:rPr>
          <w:noProof/>
        </w:rPr>
        <w:t>But the role of the NIF</w:t>
      </w:r>
      <w:r w:rsidR="00CA532D">
        <w:rPr>
          <w:noProof/>
        </w:rPr>
        <w:t xml:space="preserve"> </w:t>
      </w:r>
      <w:r w:rsidRPr="00056800">
        <w:rPr>
          <w:noProof/>
        </w:rPr>
        <w:t>can be enhanced  </w:t>
      </w:r>
    </w:p>
    <w:p w14:paraId="4BDD5DA8" w14:textId="3B5FB174" w:rsidR="00056800" w:rsidRPr="00056800" w:rsidRDefault="00056800" w:rsidP="00056800">
      <w:pPr>
        <w:pStyle w:val="BodyText"/>
        <w:rPr>
          <w:bCs/>
          <w:noProof/>
        </w:rPr>
      </w:pPr>
      <w:r w:rsidRPr="00056800">
        <w:rPr>
          <w:bCs/>
          <w:noProof/>
        </w:rPr>
        <w:t xml:space="preserve">The NIF should play an important role in ensuring </w:t>
      </w:r>
      <w:r w:rsidR="006168A9">
        <w:rPr>
          <w:bCs/>
          <w:noProof/>
        </w:rPr>
        <w:t xml:space="preserve">that </w:t>
      </w:r>
      <w:r w:rsidRPr="00056800">
        <w:rPr>
          <w:bCs/>
          <w:noProof/>
        </w:rPr>
        <w:t>value for money is achieved through FMIA assistance</w:t>
      </w:r>
      <w:r w:rsidR="0092746D">
        <w:rPr>
          <w:bCs/>
          <w:noProof/>
        </w:rPr>
        <w:t xml:space="preserve">. </w:t>
      </w:r>
      <w:r w:rsidR="00510E66">
        <w:rPr>
          <w:bCs/>
          <w:noProof/>
        </w:rPr>
        <w:t>FMIA s</w:t>
      </w:r>
      <w:r w:rsidR="00E57E44">
        <w:rPr>
          <w:bCs/>
          <w:noProof/>
        </w:rPr>
        <w:t xml:space="preserve">ector assessments </w:t>
      </w:r>
      <w:r w:rsidR="00E149C2">
        <w:rPr>
          <w:bCs/>
          <w:noProof/>
        </w:rPr>
        <w:t>t</w:t>
      </w:r>
      <w:r w:rsidR="00900B05">
        <w:rPr>
          <w:bCs/>
          <w:noProof/>
        </w:rPr>
        <w:t xml:space="preserve">hat test </w:t>
      </w:r>
      <w:r w:rsidR="00E465F8">
        <w:rPr>
          <w:bCs/>
          <w:noProof/>
        </w:rPr>
        <w:t xml:space="preserve">the extent to which </w:t>
      </w:r>
      <w:r w:rsidR="00EE6C35">
        <w:rPr>
          <w:bCs/>
          <w:noProof/>
        </w:rPr>
        <w:t xml:space="preserve">a sector </w:t>
      </w:r>
      <w:r w:rsidR="00C6784C">
        <w:rPr>
          <w:bCs/>
          <w:noProof/>
        </w:rPr>
        <w:t>aligns with</w:t>
      </w:r>
      <w:r w:rsidR="0072636B">
        <w:rPr>
          <w:bCs/>
          <w:noProof/>
        </w:rPr>
        <w:t xml:space="preserve"> the NIF</w:t>
      </w:r>
      <w:r w:rsidR="00E47C67">
        <w:rPr>
          <w:bCs/>
          <w:noProof/>
        </w:rPr>
        <w:t xml:space="preserve"> </w:t>
      </w:r>
      <w:r w:rsidR="00BF7E8B">
        <w:rPr>
          <w:bCs/>
          <w:noProof/>
        </w:rPr>
        <w:t xml:space="preserve">are an essential </w:t>
      </w:r>
      <w:r w:rsidR="00263F78">
        <w:rPr>
          <w:bCs/>
          <w:noProof/>
        </w:rPr>
        <w:t>component of</w:t>
      </w:r>
      <w:r w:rsidR="00534920">
        <w:rPr>
          <w:bCs/>
          <w:noProof/>
        </w:rPr>
        <w:t xml:space="preserve"> the</w:t>
      </w:r>
      <w:r w:rsidR="00E5159F">
        <w:rPr>
          <w:bCs/>
          <w:noProof/>
        </w:rPr>
        <w:t xml:space="preserve"> FMIA Bill</w:t>
      </w:r>
      <w:r w:rsidR="00D8092B">
        <w:rPr>
          <w:bCs/>
          <w:noProof/>
        </w:rPr>
        <w:t>.</w:t>
      </w:r>
      <w:r w:rsidRPr="00056800">
        <w:rPr>
          <w:bCs/>
          <w:noProof/>
        </w:rPr>
        <w:t xml:space="preserve"> </w:t>
      </w:r>
      <w:r w:rsidR="00A14911">
        <w:rPr>
          <w:bCs/>
          <w:noProof/>
        </w:rPr>
        <w:t>However, t</w:t>
      </w:r>
      <w:r w:rsidRPr="00056800">
        <w:rPr>
          <w:bCs/>
          <w:noProof/>
        </w:rPr>
        <w:t>he role of the NIF in guiding interventions and resources towards their most valuable use can be enhanced by making the following changes</w:t>
      </w:r>
      <w:r w:rsidR="0022031B">
        <w:rPr>
          <w:bCs/>
          <w:noProof/>
        </w:rPr>
        <w:t xml:space="preserve"> to the FMIA Bill</w:t>
      </w:r>
      <w:r w:rsidRPr="00056800">
        <w:rPr>
          <w:bCs/>
          <w:noProof/>
        </w:rPr>
        <w:t>:</w:t>
      </w:r>
    </w:p>
    <w:p w14:paraId="065EDD49" w14:textId="10D690F8" w:rsidR="00056800" w:rsidRPr="00056800" w:rsidRDefault="00056800" w:rsidP="00C639AF">
      <w:pPr>
        <w:pStyle w:val="ListNumber"/>
        <w:rPr>
          <w:noProof/>
        </w:rPr>
      </w:pPr>
      <w:r w:rsidRPr="00056800">
        <w:rPr>
          <w:b/>
          <w:noProof/>
        </w:rPr>
        <w:t xml:space="preserve">FMIA industry support should be limited only to sectors that pass NIF sector assessments. </w:t>
      </w:r>
      <w:r w:rsidRPr="00056800">
        <w:rPr>
          <w:noProof/>
        </w:rPr>
        <w:t xml:space="preserve">Sector assessments are not currently required by the FMIA Bill for sectors to be eligible for FMIA funding. As currently drafted, sector assessments are only required if requested by the Minister. Subsection 9 (1) of the FMIA Bill requires that the sector assessment be provided to the Minister but this does not explicitly preclude FMIA support from being provided to sectors not found by an assessment to satisfy the NIF tests. Allowing sectors to bypass the NIF process would undermine its role in disciplining spending. </w:t>
      </w:r>
    </w:p>
    <w:p w14:paraId="635A7064" w14:textId="05157320" w:rsidR="00056800" w:rsidRPr="00056800" w:rsidRDefault="00056800" w:rsidP="00C639AF">
      <w:pPr>
        <w:pStyle w:val="ListNumber"/>
        <w:rPr>
          <w:noProof/>
        </w:rPr>
      </w:pPr>
      <w:r w:rsidRPr="00056800">
        <w:rPr>
          <w:b/>
          <w:noProof/>
        </w:rPr>
        <w:t>Programs already announced under the FMIA program to-date should be subject to the NIF sector assessments.</w:t>
      </w:r>
      <w:r w:rsidRPr="00056800">
        <w:rPr>
          <w:noProof/>
        </w:rPr>
        <w:t xml:space="preserve"> It is unclear to what extent initiatives already announced as part of the FMIA – such as the Solar</w:t>
      </w:r>
      <w:r w:rsidR="0039088A">
        <w:rPr>
          <w:noProof/>
        </w:rPr>
        <w:t xml:space="preserve"> </w:t>
      </w:r>
      <w:r w:rsidRPr="00056800">
        <w:rPr>
          <w:noProof/>
        </w:rPr>
        <w:t>Sunshot program and the Battery Breakthrough Initiative – were subject to FMIA sector assessments prior to announcement.</w:t>
      </w:r>
      <w:r w:rsidR="002E3808">
        <w:rPr>
          <w:rStyle w:val="FootnoteReference"/>
          <w:noProof/>
        </w:rPr>
        <w:footnoteReference w:id="3"/>
      </w:r>
      <w:r w:rsidRPr="00056800">
        <w:rPr>
          <w:noProof/>
        </w:rPr>
        <w:t xml:space="preserve"> Subjecting these areas to a rigorous and transparent sector assessment would build public confidence in the case for their support.</w:t>
      </w:r>
    </w:p>
    <w:p w14:paraId="6F356231" w14:textId="239616B6" w:rsidR="00056800" w:rsidRPr="00056800" w:rsidRDefault="00056800" w:rsidP="00C639AF">
      <w:pPr>
        <w:pStyle w:val="ListNumber"/>
        <w:rPr>
          <w:noProof/>
        </w:rPr>
      </w:pPr>
      <w:r w:rsidRPr="00056800">
        <w:rPr>
          <w:b/>
          <w:noProof/>
        </w:rPr>
        <w:t xml:space="preserve">Data and reasoning underlying NIF </w:t>
      </w:r>
      <w:r w:rsidRPr="00FB15BC">
        <w:rPr>
          <w:b/>
          <w:noProof/>
        </w:rPr>
        <w:t>sector assessments</w:t>
      </w:r>
      <w:r w:rsidRPr="00056800">
        <w:rPr>
          <w:b/>
          <w:noProof/>
        </w:rPr>
        <w:t xml:space="preserve"> should be made public.</w:t>
      </w:r>
      <w:r w:rsidRPr="00056800">
        <w:rPr>
          <w:noProof/>
        </w:rPr>
        <w:t>  Subsection 9 (</w:t>
      </w:r>
      <w:r w:rsidR="000B0749">
        <w:rPr>
          <w:noProof/>
        </w:rPr>
        <w:t>2</w:t>
      </w:r>
      <w:r w:rsidRPr="00056800">
        <w:rPr>
          <w:noProof/>
        </w:rPr>
        <w:t xml:space="preserve">) of the FMIA Bill requires that sector assessments be tabled in Parliament within 30 </w:t>
      </w:r>
      <w:r w:rsidR="00555B82">
        <w:rPr>
          <w:noProof/>
        </w:rPr>
        <w:t xml:space="preserve">sitting </w:t>
      </w:r>
      <w:r w:rsidRPr="00056800">
        <w:rPr>
          <w:noProof/>
        </w:rPr>
        <w:t>days of being provided to the Minister. Ensuring that data and reasoning underlying any sector assessment also be made public would strengthen the transparency of the sector assessment process.</w:t>
      </w:r>
    </w:p>
    <w:p w14:paraId="6E04D9E0" w14:textId="56886EEA" w:rsidR="00056800" w:rsidRPr="00056800" w:rsidRDefault="00056800" w:rsidP="00C639AF">
      <w:pPr>
        <w:pStyle w:val="ListNumber"/>
        <w:rPr>
          <w:noProof/>
        </w:rPr>
      </w:pPr>
      <w:r w:rsidRPr="00056800">
        <w:rPr>
          <w:b/>
          <w:noProof/>
        </w:rPr>
        <w:t>Community Benefit Principles (CBPs) should be applied in a transparent way that supports the efficient achievement of the NIF objectives.</w:t>
      </w:r>
      <w:r w:rsidRPr="00056800">
        <w:rPr>
          <w:noProof/>
        </w:rPr>
        <w:t xml:space="preserve"> The Commission’s understanding is that the CBPs are </w:t>
      </w:r>
      <w:r w:rsidRPr="00056800">
        <w:rPr>
          <w:noProof/>
        </w:rPr>
        <w:lastRenderedPageBreak/>
        <w:t xml:space="preserve">designed to apply to activities in sectors that have been found to pass a rigorous NIF assessment, rather than providing an alternative pathway to FMIA support. The subordinate role of the CBPs in assessing sectoral FMIA support could be more clearly articulated, however. We further note the CBPs should be implemented to support the efficient achievement of the primary policy goals of the FMIA program. To achieve such an outcome CBPs should be applied via eligibility rather than merit criteria and be focused on </w:t>
      </w:r>
      <w:r w:rsidR="00E34B46" w:rsidRPr="00056800">
        <w:rPr>
          <w:noProof/>
        </w:rPr>
        <w:t>achiev</w:t>
      </w:r>
      <w:r w:rsidR="00E34B46">
        <w:rPr>
          <w:noProof/>
        </w:rPr>
        <w:t>ing</w:t>
      </w:r>
      <w:r w:rsidRPr="00056800">
        <w:rPr>
          <w:noProof/>
        </w:rPr>
        <w:t xml:space="preserve"> standards that are </w:t>
      </w:r>
      <w:r w:rsidR="009C4EF1" w:rsidRPr="00056800">
        <w:rPr>
          <w:noProof/>
        </w:rPr>
        <w:t xml:space="preserve">adequate </w:t>
      </w:r>
      <w:r w:rsidR="009C4EF1">
        <w:rPr>
          <w:noProof/>
        </w:rPr>
        <w:t xml:space="preserve">and </w:t>
      </w:r>
      <w:r w:rsidRPr="00056800">
        <w:rPr>
          <w:noProof/>
        </w:rPr>
        <w:t>not overly prescriptive.</w:t>
      </w:r>
    </w:p>
    <w:p w14:paraId="4B274BC1" w14:textId="68551D22" w:rsidR="00056800" w:rsidRPr="00056800" w:rsidRDefault="00056800" w:rsidP="00C639AF">
      <w:pPr>
        <w:pStyle w:val="ListNumber"/>
        <w:rPr>
          <w:noProof/>
        </w:rPr>
      </w:pPr>
      <w:r w:rsidRPr="00056800">
        <w:rPr>
          <w:b/>
          <w:noProof/>
        </w:rPr>
        <w:t>NIF sector assessments should be periodically evaluated and reviewed by an independent process or body.</w:t>
      </w:r>
      <w:r w:rsidRPr="00056800">
        <w:rPr>
          <w:noProof/>
        </w:rPr>
        <w:t xml:space="preserve"> The </w:t>
      </w:r>
      <w:r w:rsidR="00547ADB" w:rsidRPr="00B14DAB">
        <w:rPr>
          <w:noProof/>
        </w:rPr>
        <w:t>Supporting Paper</w:t>
      </w:r>
      <w:r w:rsidRPr="00056800">
        <w:rPr>
          <w:noProof/>
        </w:rPr>
        <w:t xml:space="preserve"> states that “</w:t>
      </w:r>
      <w:r w:rsidR="0035459B">
        <w:rPr>
          <w:noProof/>
        </w:rPr>
        <w:t>[</w:t>
      </w:r>
      <w:r w:rsidRPr="00056800">
        <w:rPr>
          <w:noProof/>
        </w:rPr>
        <w:t>g</w:t>
      </w:r>
      <w:r w:rsidR="0035459B">
        <w:rPr>
          <w:noProof/>
        </w:rPr>
        <w:t>]</w:t>
      </w:r>
      <w:r w:rsidRPr="00056800">
        <w:rPr>
          <w:noProof/>
        </w:rPr>
        <w:t>iven that technology and global markets will continue to evolve rapidly, sectors prioritised under the Framework will be reviewed regularly” (ibid, p.6)</w:t>
      </w:r>
      <w:r w:rsidR="00DB6698">
        <w:rPr>
          <w:noProof/>
        </w:rPr>
        <w:t>.</w:t>
      </w:r>
      <w:r w:rsidRPr="00056800">
        <w:rPr>
          <w:noProof/>
        </w:rPr>
        <w:t xml:space="preserve"> This requirement for regular review is not explicitly reflected in the FMIA Bill</w:t>
      </w:r>
      <w:r w:rsidR="00F619A4">
        <w:rPr>
          <w:noProof/>
        </w:rPr>
        <w:t>, however.</w:t>
      </w:r>
      <w:r w:rsidR="00440EE7">
        <w:rPr>
          <w:noProof/>
        </w:rPr>
        <w:t xml:space="preserve"> </w:t>
      </w:r>
      <w:r w:rsidR="00A86155">
        <w:rPr>
          <w:noProof/>
        </w:rPr>
        <w:t xml:space="preserve">The </w:t>
      </w:r>
      <w:r w:rsidR="00F619A4">
        <w:rPr>
          <w:noProof/>
        </w:rPr>
        <w:t>FMIA B</w:t>
      </w:r>
      <w:r w:rsidR="00A86155">
        <w:rPr>
          <w:noProof/>
        </w:rPr>
        <w:t xml:space="preserve">ill </w:t>
      </w:r>
      <w:r w:rsidR="000613D3">
        <w:rPr>
          <w:noProof/>
        </w:rPr>
        <w:t>only</w:t>
      </w:r>
      <w:r w:rsidR="00A86155">
        <w:rPr>
          <w:noProof/>
        </w:rPr>
        <w:t xml:space="preserve"> provides Min</w:t>
      </w:r>
      <w:r w:rsidR="00F619A4">
        <w:rPr>
          <w:noProof/>
        </w:rPr>
        <w:t>is</w:t>
      </w:r>
      <w:r w:rsidR="00A86155">
        <w:rPr>
          <w:noProof/>
        </w:rPr>
        <w:t>terial discretion over w</w:t>
      </w:r>
      <w:r w:rsidR="000E3048">
        <w:rPr>
          <w:noProof/>
        </w:rPr>
        <w:t xml:space="preserve">hether </w:t>
      </w:r>
      <w:r w:rsidR="00044431">
        <w:rPr>
          <w:noProof/>
        </w:rPr>
        <w:t>sectors</w:t>
      </w:r>
      <w:r w:rsidRPr="00056800">
        <w:rPr>
          <w:noProof/>
        </w:rPr>
        <w:t xml:space="preserve"> previously subject to a sector assessment process</w:t>
      </w:r>
      <w:r w:rsidR="00CC0367">
        <w:rPr>
          <w:noProof/>
        </w:rPr>
        <w:t xml:space="preserve"> should be reassessed</w:t>
      </w:r>
      <w:r w:rsidRPr="00056800">
        <w:rPr>
          <w:noProof/>
        </w:rPr>
        <w:t xml:space="preserve"> (subsections 6 (1) and 6 (5)). Requiring periodic independent evaluations of whether support for a sector under the FMIA is achieving the goals of the NIF in a way that represents compelling </w:t>
      </w:r>
      <w:r w:rsidR="00675E8F">
        <w:rPr>
          <w:noProof/>
        </w:rPr>
        <w:t xml:space="preserve">public </w:t>
      </w:r>
      <w:r w:rsidRPr="00056800">
        <w:rPr>
          <w:noProof/>
        </w:rPr>
        <w:t>value would enhance transparency, and support public confidence in the program.</w:t>
      </w:r>
    </w:p>
    <w:p w14:paraId="3D91FBD0" w14:textId="1EB9493D" w:rsidR="00056800" w:rsidRPr="00056800" w:rsidRDefault="00056800" w:rsidP="00C639AF">
      <w:pPr>
        <w:pStyle w:val="ListNumber"/>
        <w:rPr>
          <w:noProof/>
        </w:rPr>
      </w:pPr>
      <w:r w:rsidRPr="00056800">
        <w:rPr>
          <w:b/>
          <w:noProof/>
        </w:rPr>
        <w:t>Off-ramps should be built into policy design, and triggered in the event that FMIA supports are not achieving their</w:t>
      </w:r>
      <w:r w:rsidRPr="00056800">
        <w:rPr>
          <w:noProof/>
        </w:rPr>
        <w:t xml:space="preserve"> </w:t>
      </w:r>
      <w:r w:rsidRPr="00056800">
        <w:rPr>
          <w:b/>
          <w:noProof/>
        </w:rPr>
        <w:t xml:space="preserve">policy goals. </w:t>
      </w:r>
      <w:r w:rsidRPr="00056800">
        <w:rPr>
          <w:noProof/>
        </w:rPr>
        <w:t>FMIA support should be time-limited and withdrawn from activities and sectors that are found by independent periodic reviews (set out in 5 above) not to be achieving net community benefits and their stated policy goals in a cost-effective way.</w:t>
      </w:r>
    </w:p>
    <w:p w14:paraId="24762618" w14:textId="77777777" w:rsidR="00056800" w:rsidRPr="00056800" w:rsidRDefault="00056800" w:rsidP="00C639AF">
      <w:pPr>
        <w:pStyle w:val="Heading3"/>
        <w:rPr>
          <w:noProof/>
        </w:rPr>
      </w:pPr>
      <w:r w:rsidRPr="00056800">
        <w:rPr>
          <w:noProof/>
        </w:rPr>
        <w:t>How sector assessments are undertaken will be important </w:t>
      </w:r>
    </w:p>
    <w:p w14:paraId="63A01DCA" w14:textId="709EABD5" w:rsidR="00056800" w:rsidRPr="00056800" w:rsidRDefault="00056800" w:rsidP="00056800">
      <w:pPr>
        <w:pStyle w:val="BodyText"/>
        <w:rPr>
          <w:bCs/>
          <w:noProof/>
        </w:rPr>
      </w:pPr>
      <w:r w:rsidRPr="00056800">
        <w:rPr>
          <w:bCs/>
          <w:noProof/>
        </w:rPr>
        <w:t>Amending the FMIA Bill to address the points raised above will promote the centrality of the NIF to the allocation of FMIA industry assistance.</w:t>
      </w:r>
    </w:p>
    <w:p w14:paraId="10A3BBA2" w14:textId="5CE10F6C" w:rsidR="00056800" w:rsidRPr="00056800" w:rsidRDefault="00056800" w:rsidP="00056800">
      <w:pPr>
        <w:pStyle w:val="BodyText"/>
        <w:rPr>
          <w:bCs/>
          <w:noProof/>
        </w:rPr>
      </w:pPr>
      <w:r w:rsidRPr="00056800">
        <w:rPr>
          <w:bCs/>
          <w:noProof/>
        </w:rPr>
        <w:t>However, whether that ultimately directs public funding to its best use will ultimately turn on the strength of the sector assessment process itself</w:t>
      </w:r>
      <w:r w:rsidR="00B607F9">
        <w:rPr>
          <w:bCs/>
          <w:noProof/>
        </w:rPr>
        <w:t>.</w:t>
      </w:r>
    </w:p>
    <w:p w14:paraId="7461E2E1" w14:textId="4F45A3BE" w:rsidR="00056800" w:rsidRPr="00056800" w:rsidRDefault="00056800" w:rsidP="00056800">
      <w:pPr>
        <w:pStyle w:val="BodyText"/>
        <w:rPr>
          <w:bCs/>
          <w:noProof/>
        </w:rPr>
      </w:pPr>
      <w:r w:rsidRPr="00056800">
        <w:rPr>
          <w:bCs/>
          <w:noProof/>
        </w:rPr>
        <w:t xml:space="preserve">Assessments under the </w:t>
      </w:r>
      <w:r w:rsidR="00013A08">
        <w:rPr>
          <w:bCs/>
          <w:noProof/>
        </w:rPr>
        <w:t>n</w:t>
      </w:r>
      <w:r w:rsidRPr="00056800">
        <w:rPr>
          <w:bCs/>
          <w:noProof/>
        </w:rPr>
        <w:t xml:space="preserve">et </w:t>
      </w:r>
      <w:r w:rsidR="00013A08">
        <w:rPr>
          <w:bCs/>
          <w:noProof/>
        </w:rPr>
        <w:t>z</w:t>
      </w:r>
      <w:r w:rsidRPr="00056800">
        <w:rPr>
          <w:bCs/>
          <w:noProof/>
        </w:rPr>
        <w:t xml:space="preserve">ero </w:t>
      </w:r>
      <w:r w:rsidR="00013A08">
        <w:rPr>
          <w:bCs/>
          <w:noProof/>
        </w:rPr>
        <w:t>t</w:t>
      </w:r>
      <w:r w:rsidRPr="00056800">
        <w:rPr>
          <w:bCs/>
          <w:noProof/>
        </w:rPr>
        <w:t xml:space="preserve">ransformation stream require an assessment of whether an industry is likely to have a sustained comparative advantage in a </w:t>
      </w:r>
      <w:r w:rsidR="00135880">
        <w:rPr>
          <w:bCs/>
          <w:noProof/>
        </w:rPr>
        <w:t xml:space="preserve">global </w:t>
      </w:r>
      <w:r w:rsidRPr="00056800">
        <w:rPr>
          <w:bCs/>
          <w:noProof/>
        </w:rPr>
        <w:t>net zero economy.</w:t>
      </w:r>
    </w:p>
    <w:p w14:paraId="6A49D84F" w14:textId="07C51933" w:rsidR="00056800" w:rsidRPr="00056800" w:rsidRDefault="00056800" w:rsidP="00056800">
      <w:pPr>
        <w:pStyle w:val="BodyText"/>
        <w:rPr>
          <w:bCs/>
          <w:noProof/>
        </w:rPr>
      </w:pPr>
      <w:r w:rsidRPr="00056800">
        <w:rPr>
          <w:bCs/>
          <w:noProof/>
        </w:rPr>
        <w:t xml:space="preserve">The 2022-23 edition of the Commission’s annual </w:t>
      </w:r>
      <w:r w:rsidRPr="00056800">
        <w:rPr>
          <w:bCs/>
          <w:i/>
          <w:iCs/>
          <w:noProof/>
        </w:rPr>
        <w:t>Trade and Assistance Review</w:t>
      </w:r>
      <w:r w:rsidRPr="00056800">
        <w:rPr>
          <w:bCs/>
          <w:noProof/>
        </w:rPr>
        <w:t xml:space="preserve"> explored a number of empirical methodologies to assess which sectors a country has a comparative advantage in. This exploration demonstrated the challenges of doing so, particularly when attempting to predict which sectors a country may reasonably expect to enjoy an enduring comparative advantage in the future. These challenges highlight the importance of making assessments of future comparative advantage in sector assessments public and building in pre-defined off-ramps if those assessments prove inaccurate over time. Such assessments would form an ongoing evidence base and inform future policy decisions.</w:t>
      </w:r>
    </w:p>
    <w:p w14:paraId="629F2FC7" w14:textId="7403F004" w:rsidR="002A1350" w:rsidRDefault="00056800" w:rsidP="00BB70DB">
      <w:pPr>
        <w:pStyle w:val="BodyText"/>
        <w:rPr>
          <w:bCs/>
          <w:noProof/>
        </w:rPr>
      </w:pPr>
      <w:r w:rsidRPr="00056800">
        <w:rPr>
          <w:bCs/>
          <w:noProof/>
        </w:rPr>
        <w:t>The means by which Australian policy makers might meaningfully assess whether industry assistance is a cost-effective way of enhancing supply chain resilience is an area that the Commission intends to undertake further work on in the near future.</w:t>
      </w:r>
    </w:p>
    <w:sectPr w:rsidR="002A1350" w:rsidSect="00B45E92">
      <w:headerReference w:type="even" r:id="rId23"/>
      <w:headerReference w:type="default" r:id="rId24"/>
      <w:headerReference w:type="first" r:id="rId25"/>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BB333" w14:textId="77777777" w:rsidR="00F4774C" w:rsidRDefault="00F4774C" w:rsidP="008017BC">
      <w:r>
        <w:separator/>
      </w:r>
    </w:p>
    <w:p w14:paraId="7C76B697" w14:textId="77777777" w:rsidR="00F4774C" w:rsidRDefault="00F4774C"/>
  </w:endnote>
  <w:endnote w:type="continuationSeparator" w:id="0">
    <w:p w14:paraId="69316BEB" w14:textId="77777777" w:rsidR="00F4774C" w:rsidRDefault="00F4774C" w:rsidP="008017BC">
      <w:r>
        <w:continuationSeparator/>
      </w:r>
    </w:p>
    <w:p w14:paraId="2805FB9A" w14:textId="77777777" w:rsidR="00F4774C" w:rsidRDefault="00F4774C"/>
  </w:endnote>
  <w:endnote w:type="continuationNotice" w:id="1">
    <w:p w14:paraId="64EEE4A7" w14:textId="77777777" w:rsidR="00F4774C" w:rsidRDefault="00F477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C96D7"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1B7D4"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25185"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2" behindDoc="0" locked="1" layoutInCell="1" allowOverlap="1" wp14:anchorId="136FAAEE" wp14:editId="3DFD1C7E">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69DB81"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9D76E" w14:textId="77777777" w:rsidR="00F4774C" w:rsidRPr="00C238D1" w:rsidRDefault="00F4774C" w:rsidP="00273E86">
      <w:pPr>
        <w:spacing w:after="0" w:line="240" w:lineRule="auto"/>
        <w:rPr>
          <w:rStyle w:val="ColourDarkBlue"/>
        </w:rPr>
      </w:pPr>
      <w:r w:rsidRPr="00C238D1">
        <w:rPr>
          <w:rStyle w:val="ColourDarkBlue"/>
        </w:rPr>
        <w:continuationSeparator/>
      </w:r>
    </w:p>
  </w:footnote>
  <w:footnote w:type="continuationSeparator" w:id="0">
    <w:p w14:paraId="05E13106" w14:textId="77777777" w:rsidR="00F4774C" w:rsidRPr="001D7D9B" w:rsidRDefault="00F4774C" w:rsidP="001D7D9B">
      <w:pPr>
        <w:spacing w:after="0" w:line="240" w:lineRule="auto"/>
        <w:rPr>
          <w:color w:val="265A9A" w:themeColor="background2"/>
        </w:rPr>
      </w:pPr>
      <w:r w:rsidRPr="00C238D1">
        <w:rPr>
          <w:rStyle w:val="ColourDarkBlue"/>
        </w:rPr>
        <w:continuationSeparator/>
      </w:r>
    </w:p>
  </w:footnote>
  <w:footnote w:type="continuationNotice" w:id="1">
    <w:p w14:paraId="63E85442" w14:textId="77777777" w:rsidR="00F4774C" w:rsidRDefault="00F4774C"/>
  </w:footnote>
  <w:footnote w:id="2">
    <w:p w14:paraId="259B0B6B" w14:textId="77777777" w:rsidR="00337190" w:rsidRPr="00FB15BC" w:rsidRDefault="00337190" w:rsidP="00337190">
      <w:pPr>
        <w:pStyle w:val="FootnoteText"/>
        <w:rPr>
          <w:sz w:val="20"/>
          <w:lang w:val="en-US"/>
        </w:rPr>
      </w:pPr>
      <w:r>
        <w:rPr>
          <w:rStyle w:val="FootnoteReference"/>
        </w:rPr>
        <w:footnoteRef/>
      </w:r>
      <w:r>
        <w:t xml:space="preserve"> </w:t>
      </w:r>
      <w:hyperlink r:id="rId1">
        <w:r w:rsidRPr="00B85708">
          <w:rPr>
            <w:color w:val="0000FF"/>
            <w:sz w:val="20"/>
            <w:u w:val="single"/>
          </w:rPr>
          <w:t>Future Made in Australia – National Interest Framework (treasury.gov.au)</w:t>
        </w:r>
      </w:hyperlink>
    </w:p>
  </w:footnote>
  <w:footnote w:id="3">
    <w:p w14:paraId="67127C49" w14:textId="2FA9BF70" w:rsidR="002E3808" w:rsidRPr="002E3808" w:rsidRDefault="002E3808">
      <w:pPr>
        <w:pStyle w:val="FootnoteText"/>
        <w:rPr>
          <w:lang w:val="en-US"/>
        </w:rPr>
      </w:pPr>
      <w:r>
        <w:rPr>
          <w:rStyle w:val="FootnoteReference"/>
        </w:rPr>
        <w:footnoteRef/>
      </w:r>
      <w:r>
        <w:t xml:space="preserve"> </w:t>
      </w:r>
      <w:r w:rsidRPr="00E72FB9">
        <w:rPr>
          <w:rFonts w:eastAsia="Aptos" w:cstheme="minorHAnsi"/>
          <w:sz w:val="20"/>
        </w:rPr>
        <w:t xml:space="preserve">For example, </w:t>
      </w:r>
      <w:r w:rsidR="007B6735">
        <w:rPr>
          <w:rFonts w:eastAsia="Aptos" w:cstheme="minorHAnsi"/>
          <w:sz w:val="20"/>
        </w:rPr>
        <w:t>the Supporting Paper</w:t>
      </w:r>
      <w:r w:rsidRPr="00E72FB9">
        <w:rPr>
          <w:rFonts w:eastAsia="Aptos" w:cstheme="minorHAnsi"/>
          <w:sz w:val="20"/>
        </w:rPr>
        <w:t xml:space="preserve"> argued </w:t>
      </w:r>
      <w:r w:rsidRPr="00E72FB9">
        <w:rPr>
          <w:rFonts w:cstheme="minorHAnsi"/>
          <w:sz w:val="20"/>
        </w:rPr>
        <w:t xml:space="preserve">that there are grounds for believing that Australia can have an enduring comparative advantage in </w:t>
      </w:r>
      <w:r w:rsidR="00C03EEC">
        <w:rPr>
          <w:rFonts w:cstheme="minorHAnsi"/>
          <w:sz w:val="20"/>
        </w:rPr>
        <w:t xml:space="preserve">renewable </w:t>
      </w:r>
      <w:r w:rsidRPr="00E72FB9">
        <w:rPr>
          <w:rFonts w:cstheme="minorHAnsi"/>
          <w:sz w:val="20"/>
        </w:rPr>
        <w:t>hydrogen, green metals, and low carbon liquid fuels (Australian Government 2024, pp. 15–20). It also argued that critical minerals processing is consistent with the principles of the economic security and resilience stream (Australian Government 2024, p. 24).</w:t>
      </w:r>
      <w:r w:rsidRPr="00E72FB9">
        <w:rPr>
          <w:rFonts w:eastAsia="Aptos" w:cstheme="minorHAnsi"/>
          <w:sz w:val="20"/>
        </w:rPr>
        <w:t xml:space="preserve"> However, the </w:t>
      </w:r>
      <w:r w:rsidRPr="00B14DAB">
        <w:rPr>
          <w:rFonts w:eastAsia="Aptos" w:cstheme="minorHAnsi"/>
          <w:sz w:val="20"/>
        </w:rPr>
        <w:t>Supporting Paper</w:t>
      </w:r>
      <w:r w:rsidRPr="00E72FB9">
        <w:rPr>
          <w:rFonts w:eastAsia="Aptos" w:cstheme="minorHAnsi"/>
          <w:sz w:val="20"/>
        </w:rPr>
        <w:t xml:space="preserve"> also highlighted that many of Australia’s trading partners are diversifying into clean energy manufacturing and argued that </w:t>
      </w:r>
      <w:r w:rsidRPr="00E72FB9">
        <w:rPr>
          <w:rFonts w:cstheme="minorHAnsi"/>
          <w:sz w:val="20"/>
        </w:rPr>
        <w:t xml:space="preserve">supply chain resilience concerns in the solar panel and battery sectors might also be managed </w:t>
      </w:r>
      <w:r w:rsidR="00311758">
        <w:rPr>
          <w:rFonts w:cstheme="minorHAnsi"/>
          <w:sz w:val="20"/>
        </w:rPr>
        <w:t xml:space="preserve">by </w:t>
      </w:r>
      <w:r w:rsidRPr="00E72FB9">
        <w:rPr>
          <w:rFonts w:cstheme="minorHAnsi"/>
          <w:sz w:val="20"/>
        </w:rPr>
        <w:t>develop</w:t>
      </w:r>
      <w:r w:rsidR="005B4304">
        <w:rPr>
          <w:rFonts w:cstheme="minorHAnsi"/>
          <w:sz w:val="20"/>
        </w:rPr>
        <w:t xml:space="preserve">ing </w:t>
      </w:r>
      <w:r w:rsidRPr="00E72FB9">
        <w:rPr>
          <w:rFonts w:cstheme="minorHAnsi"/>
          <w:sz w:val="20"/>
        </w:rPr>
        <w:t>and maint</w:t>
      </w:r>
      <w:r w:rsidR="005B4304">
        <w:rPr>
          <w:rFonts w:cstheme="minorHAnsi"/>
          <w:sz w:val="20"/>
        </w:rPr>
        <w:t>aining</w:t>
      </w:r>
      <w:r w:rsidRPr="00E72FB9">
        <w:rPr>
          <w:rFonts w:cstheme="minorHAnsi"/>
          <w:sz w:val="20"/>
        </w:rPr>
        <w:t xml:space="preserve"> close trading relationships with those countries</w:t>
      </w:r>
      <w:r w:rsidRPr="00E72FB9" w:rsidDel="001A7AE1">
        <w:rPr>
          <w:rFonts w:cstheme="minorHAnsi"/>
          <w:sz w:val="20"/>
        </w:rPr>
        <w:t xml:space="preserve"> </w:t>
      </w:r>
      <w:r w:rsidRPr="00E72FB9">
        <w:rPr>
          <w:rFonts w:eastAsia="Aptos" w:cstheme="minorHAnsi"/>
          <w:sz w:val="20"/>
        </w:rPr>
        <w:t>(ibid, p.28-29).</w:t>
      </w:r>
      <w:r w:rsidRPr="00B85708">
        <w:rPr>
          <w:rFonts w:ascii="Aptos" w:eastAsia="Aptos" w:hAnsi="Aptos" w:cs="Aptos"/>
          <w:sz w:val="20"/>
        </w:rPr>
        <w:t xml:space="preserve">   </w:t>
      </w:r>
      <w:r w:rsidRPr="00B85708">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7E613" w14:textId="78942A09" w:rsidR="006D4212" w:rsidRDefault="00BB70DB" w:rsidP="00946C03">
    <w:pPr>
      <w:pStyle w:val="Header-Keyline"/>
    </w:pPr>
    <w:r>
      <w:rPr>
        <w:b/>
        <w:bCs/>
        <w:noProof/>
      </w:rPr>
      <mc:AlternateContent>
        <mc:Choice Requires="wps">
          <w:drawing>
            <wp:anchor distT="0" distB="0" distL="0" distR="0" simplePos="0" relativeHeight="251658240" behindDoc="0" locked="0" layoutInCell="1" allowOverlap="1" wp14:anchorId="588E1AB7" wp14:editId="4EF70F35">
              <wp:simplePos x="722376" y="502920"/>
              <wp:positionH relativeFrom="page">
                <wp:align>center</wp:align>
              </wp:positionH>
              <wp:positionV relativeFrom="page">
                <wp:align>top</wp:align>
              </wp:positionV>
              <wp:extent cx="782320" cy="452755"/>
              <wp:effectExtent l="0" t="0" r="17780" b="4445"/>
              <wp:wrapNone/>
              <wp:docPr id="1631298687" name="Text Box 2" descr=" 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2320" cy="452755"/>
                      </a:xfrm>
                      <a:prstGeom prst="rect">
                        <a:avLst/>
                      </a:prstGeom>
                      <a:noFill/>
                      <a:ln>
                        <a:noFill/>
                      </a:ln>
                    </wps:spPr>
                    <wps:txbx>
                      <w:txbxContent>
                        <w:p w14:paraId="0D1B7106" w14:textId="70CBA6CD"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E1AB7" id="_x0000_t202" coordsize="21600,21600" o:spt="202" path="m,l,21600r21600,l21600,xe">
              <v:stroke joinstyle="miter"/>
              <v:path gradientshapeok="t" o:connecttype="rect"/>
            </v:shapetype>
            <v:shape id="Text Box 2" o:spid="_x0000_s1026" type="#_x0000_t202" alt=" UNOFFICIAL" style="position:absolute;margin-left:0;margin-top:0;width:61.6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" filled="f" stroked="f">
              <v:textbox style="mso-fit-shape-to-text:t" inset="0,15pt,0,0">
                <w:txbxContent>
                  <w:p w14:paraId="0D1B7106" w14:textId="70CBA6CD"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v:textbox>
              <w10:wrap anchorx="page" anchory="page"/>
            </v:shape>
          </w:pict>
        </mc:Fallback>
      </mc:AlternateContent>
    </w:r>
    <w:sdt>
      <w:sdtPr>
        <w:rPr>
          <w:rStyle w:val="Strong"/>
        </w:rPr>
        <w:alias w:val="Title"/>
        <w:tag w:val=""/>
        <w:id w:val="-1701777645"/>
        <w:placeholder>
          <w:docPart w:val="ABF6194C92384E5892A6445314639E59"/>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0104FE">
          <w:rPr>
            <w:rStyle w:val="Strong"/>
          </w:rPr>
          <w:t>Future Made in Australia legislation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46375" w14:textId="7D4AD68E" w:rsidR="006D4212" w:rsidRDefault="00BB70DB" w:rsidP="006D4212">
    <w:pPr>
      <w:pStyle w:val="Header-KeylineRight"/>
    </w:pPr>
    <w:r>
      <w:rPr>
        <w:noProof/>
      </w:rPr>
      <mc:AlternateContent>
        <mc:Choice Requires="wps">
          <w:drawing>
            <wp:anchor distT="0" distB="0" distL="0" distR="0" simplePos="0" relativeHeight="251658243" behindDoc="0" locked="0" layoutInCell="1" allowOverlap="1" wp14:anchorId="402ADD16" wp14:editId="49FC3B83">
              <wp:simplePos x="635" y="635"/>
              <wp:positionH relativeFrom="page">
                <wp:align>center</wp:align>
              </wp:positionH>
              <wp:positionV relativeFrom="page">
                <wp:align>top</wp:align>
              </wp:positionV>
              <wp:extent cx="782320" cy="452755"/>
              <wp:effectExtent l="0" t="0" r="17780" b="4445"/>
              <wp:wrapNone/>
              <wp:docPr id="2025689598" name="Text Box 3" descr=" 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2320" cy="452755"/>
                      </a:xfrm>
                      <a:prstGeom prst="rect">
                        <a:avLst/>
                      </a:prstGeom>
                      <a:noFill/>
                      <a:ln>
                        <a:noFill/>
                      </a:ln>
                    </wps:spPr>
                    <wps:txbx>
                      <w:txbxContent>
                        <w:p w14:paraId="0DBA2A62" w14:textId="39F8A2D5"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ADD16" id="_x0000_t202" coordsize="21600,21600" o:spt="202" path="m,l,21600r21600,l21600,xe">
              <v:stroke joinstyle="miter"/>
              <v:path gradientshapeok="t" o:connecttype="rect"/>
            </v:shapetype>
            <v:shape id="Text Box 3" o:spid="_x0000_s1027" type="#_x0000_t202" alt=" UNOFFICIAL" style="position:absolute;left:0;text-align:left;margin-left:0;margin-top:0;width:61.6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" filled="f" stroked="f">
              <v:textbox style="mso-fit-shape-to-text:t" inset="0,15pt,0,0">
                <w:txbxContent>
                  <w:p w14:paraId="0DBA2A62" w14:textId="39F8A2D5"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v:textbox>
              <w10:wrap anchorx="page" anchory="page"/>
            </v:shape>
          </w:pict>
        </mc:Fallback>
      </mc:AlternateContent>
    </w:r>
    <w:r w:rsidR="006D4212">
      <w:fldChar w:fldCharType="begin"/>
    </w:r>
    <w:r w:rsidR="006D4212">
      <w:instrText xml:space="preserve"> STYLEREF  "Heading 1"  \* MERGEFORMAT </w:instrText>
    </w:r>
    <w:r w:rsidR="006D4212">
      <w:fldChar w:fldCharType="separate"/>
    </w:r>
    <w:r w:rsidR="00B04B8F">
      <w:rPr>
        <w:b/>
        <w:bCs/>
        <w:noProof/>
        <w:lang w:val="en-US"/>
      </w:rPr>
      <w:t>Error! No text of specified style in document.</w:t>
    </w:r>
    <w:r w:rsidR="006D4212">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C37EB" w14:textId="6DD06474" w:rsidR="00F04EA7" w:rsidRPr="007215EF" w:rsidRDefault="00F04EA7" w:rsidP="007215EF">
    <w:r w:rsidRPr="007215EF">
      <w:rPr>
        <w:noProof/>
      </w:rPr>
      <w:drawing>
        <wp:anchor distT="0" distB="0" distL="114300" distR="114300" simplePos="0" relativeHeight="251658241" behindDoc="0" locked="1" layoutInCell="1" allowOverlap="1" wp14:anchorId="28BA6B7D" wp14:editId="6EAA9DC4">
          <wp:simplePos x="0" y="0"/>
          <wp:positionH relativeFrom="margin">
            <wp:align>left</wp:align>
          </wp:positionH>
          <wp:positionV relativeFrom="page">
            <wp:align>top</wp:align>
          </wp:positionV>
          <wp:extent cx="2235600" cy="1058400"/>
          <wp:effectExtent l="0" t="0" r="0" b="8890"/>
          <wp:wrapNone/>
          <wp:docPr id="17"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A1B20"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F9F95" w14:textId="3926AB68" w:rsidR="007D1E98" w:rsidRPr="00E10620" w:rsidRDefault="003241E8" w:rsidP="003B43F3">
    <w:pPr>
      <w:pStyle w:val="Header-KeylineRight"/>
      <w:spacing w:before="60"/>
    </w:pPr>
    <w:r w:rsidRPr="003241E8">
      <w:t>Future Made in Australia legislation – Senate Economics Legislation Committee inquiry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AE6BC" w14:textId="61738C0A" w:rsidR="007D1E98" w:rsidRDefault="007D1E98" w:rsidP="007D1E98">
    <w:pPr>
      <w:pStyle w:val="Header-KeylineRight"/>
      <w:jc w:val="left"/>
    </w:pPr>
    <w:r>
      <w:rPr>
        <w:b/>
        <w:bCs/>
        <w:noProof/>
        <w:lang w:val="en-US"/>
      </w:rPr>
      <w:t>P</w:t>
    </w:r>
    <w:r w:rsidRPr="0083707F">
      <w:rPr>
        <w:b/>
        <w:bCs/>
        <w:noProof/>
        <w:lang w:val="en-US"/>
      </w:rPr>
      <w:t>roductivity Commission submission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B693D" w14:textId="6A61F59B" w:rsidR="00BB70DB" w:rsidRDefault="00BB70DB">
    <w:pPr>
      <w:pStyle w:val="Header"/>
    </w:pPr>
    <w:r>
      <w:rPr>
        <w:noProof/>
      </w:rPr>
      <mc:AlternateContent>
        <mc:Choice Requires="wps">
          <w:drawing>
            <wp:anchor distT="0" distB="0" distL="0" distR="0" simplePos="0" relativeHeight="251658244" behindDoc="0" locked="0" layoutInCell="1" allowOverlap="1" wp14:anchorId="4B181F90" wp14:editId="35B7DE4D">
              <wp:simplePos x="635" y="635"/>
              <wp:positionH relativeFrom="page">
                <wp:align>center</wp:align>
              </wp:positionH>
              <wp:positionV relativeFrom="page">
                <wp:align>top</wp:align>
              </wp:positionV>
              <wp:extent cx="782320" cy="452755"/>
              <wp:effectExtent l="0" t="0" r="17780" b="4445"/>
              <wp:wrapNone/>
              <wp:docPr id="1705126357" name="Text Box 7" descr=" 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82320" cy="452755"/>
                      </a:xfrm>
                      <a:prstGeom prst="rect">
                        <a:avLst/>
                      </a:prstGeom>
                      <a:noFill/>
                      <a:ln>
                        <a:noFill/>
                      </a:ln>
                    </wps:spPr>
                    <wps:txbx>
                      <w:txbxContent>
                        <w:p w14:paraId="1EECE187" w14:textId="0094CD17"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181F90" id="_x0000_t202" coordsize="21600,21600" o:spt="202" path="m,l,21600r21600,l21600,xe">
              <v:stroke joinstyle="miter"/>
              <v:path gradientshapeok="t" o:connecttype="rect"/>
            </v:shapetype>
            <v:shape id="Text Box 7" o:spid="_x0000_s1028" type="#_x0000_t202" alt=" UNOFFICIAL" style="position:absolute;margin-left:0;margin-top:0;width:61.6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" filled="f" stroked="f">
              <v:textbox style="mso-fit-shape-to-text:t" inset="0,15pt,0,0">
                <w:txbxContent>
                  <w:p w14:paraId="1EECE187" w14:textId="0094CD17" w:rsidR="00BB70DB" w:rsidRPr="00BB70DB" w:rsidRDefault="00BB70DB" w:rsidP="00BB70DB">
                    <w:pPr>
                      <w:spacing w:after="0"/>
                      <w:rPr>
                        <w:rFonts w:ascii="Calibri" w:eastAsia="Calibri" w:hAnsi="Calibri" w:cs="Calibri"/>
                        <w:noProof/>
                        <w:color w:val="000000"/>
                        <w:sz w:val="24"/>
                        <w:szCs w:val="24"/>
                      </w:rPr>
                    </w:pPr>
                    <w:r w:rsidRPr="00BB70DB">
                      <w:rPr>
                        <w:rFonts w:ascii="Calibri" w:eastAsia="Calibri" w:hAnsi="Calibri" w:cs="Calibri"/>
                        <w:noProof/>
                        <w:color w:val="000000"/>
                        <w:sz w:val="24"/>
                        <w:szCs w:val="24"/>
                      </w:rPr>
                      <w:t xml:space="preserve"> 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9557DB"/>
    <w:multiLevelType w:val="multilevel"/>
    <w:tmpl w:val="8D86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0A6A25"/>
    <w:multiLevelType w:val="multilevel"/>
    <w:tmpl w:val="BCE63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2545EAD"/>
    <w:multiLevelType w:val="hybridMultilevel"/>
    <w:tmpl w:val="BF84A4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6F446CB"/>
    <w:multiLevelType w:val="hybridMultilevel"/>
    <w:tmpl w:val="0F16056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B070F03"/>
    <w:multiLevelType w:val="multilevel"/>
    <w:tmpl w:val="30AC89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6BC6491"/>
    <w:multiLevelType w:val="multilevel"/>
    <w:tmpl w:val="BBAEA6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1F5F3D"/>
    <w:multiLevelType w:val="multilevel"/>
    <w:tmpl w:val="DC8E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4B00C3"/>
    <w:multiLevelType w:val="multilevel"/>
    <w:tmpl w:val="BC8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FB3C0A"/>
    <w:multiLevelType w:val="multilevel"/>
    <w:tmpl w:val="FF2CD8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6076AC"/>
    <w:multiLevelType w:val="multilevel"/>
    <w:tmpl w:val="020038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726E44F1"/>
    <w:multiLevelType w:val="multilevel"/>
    <w:tmpl w:val="15C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E7363D"/>
    <w:multiLevelType w:val="multilevel"/>
    <w:tmpl w:val="F07C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1B4A1B"/>
    <w:multiLevelType w:val="multilevel"/>
    <w:tmpl w:val="4F48000A"/>
    <w:numStyleLink w:val="Alphalist"/>
  </w:abstractNum>
  <w:num w:numId="1" w16cid:durableId="1582904759">
    <w:abstractNumId w:val="8"/>
  </w:num>
  <w:num w:numId="2" w16cid:durableId="1614894758">
    <w:abstractNumId w:val="3"/>
  </w:num>
  <w:num w:numId="3" w16cid:durableId="1634215242">
    <w:abstractNumId w:val="14"/>
  </w:num>
  <w:num w:numId="4" w16cid:durableId="1221747885">
    <w:abstractNumId w:val="24"/>
  </w:num>
  <w:num w:numId="5" w16cid:durableId="407575386">
    <w:abstractNumId w:val="25"/>
  </w:num>
  <w:num w:numId="6" w16cid:durableId="2046715280">
    <w:abstractNumId w:val="18"/>
  </w:num>
  <w:num w:numId="7" w16cid:durableId="1955091682">
    <w:abstractNumId w:val="16"/>
  </w:num>
  <w:num w:numId="8" w16cid:durableId="1791969526">
    <w:abstractNumId w:val="10"/>
  </w:num>
  <w:num w:numId="9" w16cid:durableId="1418401484">
    <w:abstractNumId w:val="15"/>
  </w:num>
  <w:num w:numId="10" w16cid:durableId="2079353197">
    <w:abstractNumId w:val="28"/>
  </w:num>
  <w:num w:numId="11" w16cid:durableId="420836321">
    <w:abstractNumId w:val="0"/>
  </w:num>
  <w:num w:numId="12" w16cid:durableId="1537767388">
    <w:abstractNumId w:val="4"/>
  </w:num>
  <w:num w:numId="13" w16cid:durableId="139462048">
    <w:abstractNumId w:val="12"/>
  </w:num>
  <w:num w:numId="14" w16cid:durableId="213737887">
    <w:abstractNumId w:val="7"/>
  </w:num>
  <w:num w:numId="15" w16cid:durableId="2002922933">
    <w:abstractNumId w:val="6"/>
  </w:num>
  <w:num w:numId="16" w16cid:durableId="1060058724">
    <w:abstractNumId w:val="1"/>
  </w:num>
  <w:num w:numId="17" w16cid:durableId="1795363624">
    <w:abstractNumId w:val="17"/>
  </w:num>
  <w:num w:numId="18" w16cid:durableId="745105685">
    <w:abstractNumId w:val="11"/>
  </w:num>
  <w:num w:numId="19" w16cid:durableId="162162605">
    <w:abstractNumId w:val="9"/>
  </w:num>
  <w:num w:numId="20" w16cid:durableId="2070566763">
    <w:abstractNumId w:val="21"/>
  </w:num>
  <w:num w:numId="21" w16cid:durableId="238948594">
    <w:abstractNumId w:val="26"/>
  </w:num>
  <w:num w:numId="22" w16cid:durableId="1868367455">
    <w:abstractNumId w:val="20"/>
  </w:num>
  <w:num w:numId="23" w16cid:durableId="931552438">
    <w:abstractNumId w:val="2"/>
  </w:num>
  <w:num w:numId="24" w16cid:durableId="786242982">
    <w:abstractNumId w:val="27"/>
  </w:num>
  <w:num w:numId="25" w16cid:durableId="1845245747">
    <w:abstractNumId w:val="5"/>
  </w:num>
  <w:num w:numId="26" w16cid:durableId="1045131532">
    <w:abstractNumId w:val="22"/>
  </w:num>
  <w:num w:numId="27" w16cid:durableId="585308755">
    <w:abstractNumId w:val="19"/>
  </w:num>
  <w:num w:numId="28" w16cid:durableId="998726453">
    <w:abstractNumId w:val="13"/>
  </w:num>
  <w:num w:numId="29" w16cid:durableId="96222746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0DB"/>
    <w:rsid w:val="00000075"/>
    <w:rsid w:val="00000F3C"/>
    <w:rsid w:val="00001847"/>
    <w:rsid w:val="0000273D"/>
    <w:rsid w:val="00004489"/>
    <w:rsid w:val="00005C79"/>
    <w:rsid w:val="00010163"/>
    <w:rsid w:val="000104FE"/>
    <w:rsid w:val="00011553"/>
    <w:rsid w:val="00011FBF"/>
    <w:rsid w:val="0001283D"/>
    <w:rsid w:val="000135D8"/>
    <w:rsid w:val="00013A08"/>
    <w:rsid w:val="0001606D"/>
    <w:rsid w:val="00021153"/>
    <w:rsid w:val="00021364"/>
    <w:rsid w:val="000223A0"/>
    <w:rsid w:val="00023974"/>
    <w:rsid w:val="000247B5"/>
    <w:rsid w:val="0002561E"/>
    <w:rsid w:val="00026A48"/>
    <w:rsid w:val="00026C04"/>
    <w:rsid w:val="000271BA"/>
    <w:rsid w:val="000300AF"/>
    <w:rsid w:val="000331E4"/>
    <w:rsid w:val="0003338D"/>
    <w:rsid w:val="00033619"/>
    <w:rsid w:val="0003380E"/>
    <w:rsid w:val="000356E1"/>
    <w:rsid w:val="00040010"/>
    <w:rsid w:val="0004311D"/>
    <w:rsid w:val="00044294"/>
    <w:rsid w:val="00044431"/>
    <w:rsid w:val="0004756B"/>
    <w:rsid w:val="00047894"/>
    <w:rsid w:val="00047C48"/>
    <w:rsid w:val="00050BDC"/>
    <w:rsid w:val="00050DFE"/>
    <w:rsid w:val="00051012"/>
    <w:rsid w:val="0005120C"/>
    <w:rsid w:val="0005151B"/>
    <w:rsid w:val="00054129"/>
    <w:rsid w:val="00054C95"/>
    <w:rsid w:val="00055B2B"/>
    <w:rsid w:val="00055C42"/>
    <w:rsid w:val="000561CF"/>
    <w:rsid w:val="00056800"/>
    <w:rsid w:val="000568D9"/>
    <w:rsid w:val="00056E5A"/>
    <w:rsid w:val="0005774F"/>
    <w:rsid w:val="000613D3"/>
    <w:rsid w:val="00062A44"/>
    <w:rsid w:val="000634A3"/>
    <w:rsid w:val="00064FD9"/>
    <w:rsid w:val="00065153"/>
    <w:rsid w:val="00065A38"/>
    <w:rsid w:val="00065DCA"/>
    <w:rsid w:val="00066D94"/>
    <w:rsid w:val="00067FED"/>
    <w:rsid w:val="00070745"/>
    <w:rsid w:val="000716CE"/>
    <w:rsid w:val="000724AE"/>
    <w:rsid w:val="00072627"/>
    <w:rsid w:val="00072C7B"/>
    <w:rsid w:val="00076F96"/>
    <w:rsid w:val="0007776A"/>
    <w:rsid w:val="00077A76"/>
    <w:rsid w:val="0008037D"/>
    <w:rsid w:val="00080491"/>
    <w:rsid w:val="0008191A"/>
    <w:rsid w:val="000819D4"/>
    <w:rsid w:val="00081BC9"/>
    <w:rsid w:val="00081D9F"/>
    <w:rsid w:val="00083E60"/>
    <w:rsid w:val="00084660"/>
    <w:rsid w:val="00084772"/>
    <w:rsid w:val="000859DF"/>
    <w:rsid w:val="00085FB9"/>
    <w:rsid w:val="000860D1"/>
    <w:rsid w:val="00086FA4"/>
    <w:rsid w:val="00091286"/>
    <w:rsid w:val="00092311"/>
    <w:rsid w:val="00092F5E"/>
    <w:rsid w:val="00093203"/>
    <w:rsid w:val="000944FD"/>
    <w:rsid w:val="00094BC2"/>
    <w:rsid w:val="00095C52"/>
    <w:rsid w:val="0009608B"/>
    <w:rsid w:val="00096C6B"/>
    <w:rsid w:val="000A0F08"/>
    <w:rsid w:val="000A2337"/>
    <w:rsid w:val="000A257E"/>
    <w:rsid w:val="000A38AA"/>
    <w:rsid w:val="000A4C75"/>
    <w:rsid w:val="000A5788"/>
    <w:rsid w:val="000A5A90"/>
    <w:rsid w:val="000A5E59"/>
    <w:rsid w:val="000A6133"/>
    <w:rsid w:val="000A61EE"/>
    <w:rsid w:val="000B0749"/>
    <w:rsid w:val="000B35C2"/>
    <w:rsid w:val="000B497F"/>
    <w:rsid w:val="000B4A72"/>
    <w:rsid w:val="000B5105"/>
    <w:rsid w:val="000B62BC"/>
    <w:rsid w:val="000C06AF"/>
    <w:rsid w:val="000C0E3B"/>
    <w:rsid w:val="000C1E88"/>
    <w:rsid w:val="000C2007"/>
    <w:rsid w:val="000C6A8B"/>
    <w:rsid w:val="000C6B77"/>
    <w:rsid w:val="000C715E"/>
    <w:rsid w:val="000C760C"/>
    <w:rsid w:val="000D6EE1"/>
    <w:rsid w:val="000D715F"/>
    <w:rsid w:val="000E079C"/>
    <w:rsid w:val="000E3010"/>
    <w:rsid w:val="000E3048"/>
    <w:rsid w:val="000E4285"/>
    <w:rsid w:val="000E43B0"/>
    <w:rsid w:val="000E475E"/>
    <w:rsid w:val="000E4FAD"/>
    <w:rsid w:val="000E5A5B"/>
    <w:rsid w:val="000E5A80"/>
    <w:rsid w:val="000F01D0"/>
    <w:rsid w:val="000F0E14"/>
    <w:rsid w:val="000F106A"/>
    <w:rsid w:val="000F1779"/>
    <w:rsid w:val="000F21BA"/>
    <w:rsid w:val="000F23D2"/>
    <w:rsid w:val="000F3FBC"/>
    <w:rsid w:val="000F40E1"/>
    <w:rsid w:val="000F4488"/>
    <w:rsid w:val="000F47D4"/>
    <w:rsid w:val="000F59D1"/>
    <w:rsid w:val="000F625C"/>
    <w:rsid w:val="000F7F8D"/>
    <w:rsid w:val="00100E9B"/>
    <w:rsid w:val="00100FAB"/>
    <w:rsid w:val="0010195E"/>
    <w:rsid w:val="001025B6"/>
    <w:rsid w:val="00103BCC"/>
    <w:rsid w:val="0010443E"/>
    <w:rsid w:val="00104B9D"/>
    <w:rsid w:val="001054B7"/>
    <w:rsid w:val="001062CF"/>
    <w:rsid w:val="00106A95"/>
    <w:rsid w:val="00110B71"/>
    <w:rsid w:val="0011217E"/>
    <w:rsid w:val="00112E8F"/>
    <w:rsid w:val="0011381A"/>
    <w:rsid w:val="00114286"/>
    <w:rsid w:val="00114FA2"/>
    <w:rsid w:val="00116D13"/>
    <w:rsid w:val="00117C20"/>
    <w:rsid w:val="00117FDE"/>
    <w:rsid w:val="0012074E"/>
    <w:rsid w:val="00120792"/>
    <w:rsid w:val="001238A7"/>
    <w:rsid w:val="001268BC"/>
    <w:rsid w:val="00130B24"/>
    <w:rsid w:val="001315EE"/>
    <w:rsid w:val="00135880"/>
    <w:rsid w:val="001358EB"/>
    <w:rsid w:val="0013606F"/>
    <w:rsid w:val="001361B1"/>
    <w:rsid w:val="001366A3"/>
    <w:rsid w:val="00136A53"/>
    <w:rsid w:val="00136D8C"/>
    <w:rsid w:val="0013722E"/>
    <w:rsid w:val="00137FAB"/>
    <w:rsid w:val="00141064"/>
    <w:rsid w:val="00142A5B"/>
    <w:rsid w:val="00143AAD"/>
    <w:rsid w:val="00143CCF"/>
    <w:rsid w:val="00143FD3"/>
    <w:rsid w:val="00145565"/>
    <w:rsid w:val="00146199"/>
    <w:rsid w:val="0014688B"/>
    <w:rsid w:val="00151397"/>
    <w:rsid w:val="001516F0"/>
    <w:rsid w:val="00153048"/>
    <w:rsid w:val="00154E0D"/>
    <w:rsid w:val="00156136"/>
    <w:rsid w:val="0015675A"/>
    <w:rsid w:val="0016007F"/>
    <w:rsid w:val="001600E9"/>
    <w:rsid w:val="00160FEC"/>
    <w:rsid w:val="001610E5"/>
    <w:rsid w:val="00161BC8"/>
    <w:rsid w:val="00163038"/>
    <w:rsid w:val="001636F1"/>
    <w:rsid w:val="001714F3"/>
    <w:rsid w:val="00173D58"/>
    <w:rsid w:val="001740DA"/>
    <w:rsid w:val="00176D06"/>
    <w:rsid w:val="00176DA9"/>
    <w:rsid w:val="001802DC"/>
    <w:rsid w:val="00180434"/>
    <w:rsid w:val="0018120A"/>
    <w:rsid w:val="00181324"/>
    <w:rsid w:val="001820C8"/>
    <w:rsid w:val="00183290"/>
    <w:rsid w:val="00185137"/>
    <w:rsid w:val="0018654B"/>
    <w:rsid w:val="00186BF5"/>
    <w:rsid w:val="00187129"/>
    <w:rsid w:val="00187F05"/>
    <w:rsid w:val="001908E0"/>
    <w:rsid w:val="00192AB6"/>
    <w:rsid w:val="00192F91"/>
    <w:rsid w:val="001957BF"/>
    <w:rsid w:val="00197ADE"/>
    <w:rsid w:val="001A0D77"/>
    <w:rsid w:val="001A1130"/>
    <w:rsid w:val="001A196A"/>
    <w:rsid w:val="001A1BC5"/>
    <w:rsid w:val="001A1D95"/>
    <w:rsid w:val="001A1ED1"/>
    <w:rsid w:val="001A2565"/>
    <w:rsid w:val="001A2A49"/>
    <w:rsid w:val="001A326B"/>
    <w:rsid w:val="001A3FA7"/>
    <w:rsid w:val="001A65B5"/>
    <w:rsid w:val="001A6799"/>
    <w:rsid w:val="001A6E27"/>
    <w:rsid w:val="001A7CE7"/>
    <w:rsid w:val="001B1762"/>
    <w:rsid w:val="001B17AC"/>
    <w:rsid w:val="001B1D66"/>
    <w:rsid w:val="001B20B3"/>
    <w:rsid w:val="001B23A4"/>
    <w:rsid w:val="001B588D"/>
    <w:rsid w:val="001B73F7"/>
    <w:rsid w:val="001C362F"/>
    <w:rsid w:val="001C6559"/>
    <w:rsid w:val="001C7835"/>
    <w:rsid w:val="001D4050"/>
    <w:rsid w:val="001D47A9"/>
    <w:rsid w:val="001D54E6"/>
    <w:rsid w:val="001D7B37"/>
    <w:rsid w:val="001D7D9B"/>
    <w:rsid w:val="001E0E23"/>
    <w:rsid w:val="001E2052"/>
    <w:rsid w:val="001E78E8"/>
    <w:rsid w:val="001F13C1"/>
    <w:rsid w:val="001F1C36"/>
    <w:rsid w:val="001F1E9A"/>
    <w:rsid w:val="001F3FFB"/>
    <w:rsid w:val="001F446D"/>
    <w:rsid w:val="001F4FF6"/>
    <w:rsid w:val="001F6B0A"/>
    <w:rsid w:val="001F7F7B"/>
    <w:rsid w:val="00200ACA"/>
    <w:rsid w:val="00201320"/>
    <w:rsid w:val="002013ED"/>
    <w:rsid w:val="0020204A"/>
    <w:rsid w:val="00204F52"/>
    <w:rsid w:val="0020558F"/>
    <w:rsid w:val="002072D1"/>
    <w:rsid w:val="00207474"/>
    <w:rsid w:val="002112EC"/>
    <w:rsid w:val="0021348E"/>
    <w:rsid w:val="0021549A"/>
    <w:rsid w:val="00215CCD"/>
    <w:rsid w:val="00215ECF"/>
    <w:rsid w:val="00215FE3"/>
    <w:rsid w:val="0022031B"/>
    <w:rsid w:val="00220ABD"/>
    <w:rsid w:val="00221800"/>
    <w:rsid w:val="00221AB7"/>
    <w:rsid w:val="00221EAC"/>
    <w:rsid w:val="0022341E"/>
    <w:rsid w:val="00226BCC"/>
    <w:rsid w:val="00227712"/>
    <w:rsid w:val="00227D46"/>
    <w:rsid w:val="00234565"/>
    <w:rsid w:val="00234ABC"/>
    <w:rsid w:val="00234CB1"/>
    <w:rsid w:val="00237178"/>
    <w:rsid w:val="002418AA"/>
    <w:rsid w:val="0024201D"/>
    <w:rsid w:val="00242192"/>
    <w:rsid w:val="00245435"/>
    <w:rsid w:val="002457DE"/>
    <w:rsid w:val="0024613F"/>
    <w:rsid w:val="00246435"/>
    <w:rsid w:val="00246BCF"/>
    <w:rsid w:val="00251245"/>
    <w:rsid w:val="00251CA2"/>
    <w:rsid w:val="00256C87"/>
    <w:rsid w:val="00257FF9"/>
    <w:rsid w:val="002601BB"/>
    <w:rsid w:val="0026096B"/>
    <w:rsid w:val="00260DD5"/>
    <w:rsid w:val="00261675"/>
    <w:rsid w:val="002623D5"/>
    <w:rsid w:val="00263F78"/>
    <w:rsid w:val="00264DAA"/>
    <w:rsid w:val="00265918"/>
    <w:rsid w:val="00270100"/>
    <w:rsid w:val="00270834"/>
    <w:rsid w:val="00272E44"/>
    <w:rsid w:val="002730DE"/>
    <w:rsid w:val="00273E86"/>
    <w:rsid w:val="0027478C"/>
    <w:rsid w:val="0027568D"/>
    <w:rsid w:val="0028122B"/>
    <w:rsid w:val="002814E6"/>
    <w:rsid w:val="00281A54"/>
    <w:rsid w:val="00282AE5"/>
    <w:rsid w:val="00282C73"/>
    <w:rsid w:val="002867FA"/>
    <w:rsid w:val="00287114"/>
    <w:rsid w:val="002871AD"/>
    <w:rsid w:val="00287431"/>
    <w:rsid w:val="0029020F"/>
    <w:rsid w:val="002928ED"/>
    <w:rsid w:val="00292D52"/>
    <w:rsid w:val="002936B4"/>
    <w:rsid w:val="00293F4B"/>
    <w:rsid w:val="0029472B"/>
    <w:rsid w:val="00294C69"/>
    <w:rsid w:val="002951E6"/>
    <w:rsid w:val="00295330"/>
    <w:rsid w:val="0029788D"/>
    <w:rsid w:val="002A1350"/>
    <w:rsid w:val="002A2DF7"/>
    <w:rsid w:val="002A4211"/>
    <w:rsid w:val="002A4441"/>
    <w:rsid w:val="002A5035"/>
    <w:rsid w:val="002B0577"/>
    <w:rsid w:val="002B07D7"/>
    <w:rsid w:val="002B1338"/>
    <w:rsid w:val="002B1522"/>
    <w:rsid w:val="002B3A3F"/>
    <w:rsid w:val="002B3C22"/>
    <w:rsid w:val="002B4E0B"/>
    <w:rsid w:val="002B4E6C"/>
    <w:rsid w:val="002C0840"/>
    <w:rsid w:val="002C0848"/>
    <w:rsid w:val="002C1425"/>
    <w:rsid w:val="002C2661"/>
    <w:rsid w:val="002C3D76"/>
    <w:rsid w:val="002C455A"/>
    <w:rsid w:val="002C59D3"/>
    <w:rsid w:val="002C69A9"/>
    <w:rsid w:val="002C70BD"/>
    <w:rsid w:val="002C797E"/>
    <w:rsid w:val="002C7C42"/>
    <w:rsid w:val="002D174E"/>
    <w:rsid w:val="002D50CB"/>
    <w:rsid w:val="002D53BB"/>
    <w:rsid w:val="002D5B86"/>
    <w:rsid w:val="002E2ACA"/>
    <w:rsid w:val="002E32D0"/>
    <w:rsid w:val="002E348E"/>
    <w:rsid w:val="002E3808"/>
    <w:rsid w:val="002E3D29"/>
    <w:rsid w:val="002E3F19"/>
    <w:rsid w:val="002E4B9A"/>
    <w:rsid w:val="002E51D2"/>
    <w:rsid w:val="002E53A6"/>
    <w:rsid w:val="002E66A1"/>
    <w:rsid w:val="002E7776"/>
    <w:rsid w:val="002E7A0E"/>
    <w:rsid w:val="002E7C35"/>
    <w:rsid w:val="002E7EFA"/>
    <w:rsid w:val="002F018A"/>
    <w:rsid w:val="002F1F16"/>
    <w:rsid w:val="002F43BD"/>
    <w:rsid w:val="002F5452"/>
    <w:rsid w:val="002F6386"/>
    <w:rsid w:val="003025DE"/>
    <w:rsid w:val="003029F9"/>
    <w:rsid w:val="00302A7B"/>
    <w:rsid w:val="00303704"/>
    <w:rsid w:val="00305171"/>
    <w:rsid w:val="003069CD"/>
    <w:rsid w:val="0031011F"/>
    <w:rsid w:val="003105A4"/>
    <w:rsid w:val="00311758"/>
    <w:rsid w:val="003163E1"/>
    <w:rsid w:val="0031711D"/>
    <w:rsid w:val="00322D38"/>
    <w:rsid w:val="00323400"/>
    <w:rsid w:val="00323FA2"/>
    <w:rsid w:val="003241E8"/>
    <w:rsid w:val="00326A36"/>
    <w:rsid w:val="0033139B"/>
    <w:rsid w:val="003320BA"/>
    <w:rsid w:val="00332538"/>
    <w:rsid w:val="00332E8F"/>
    <w:rsid w:val="00336ECB"/>
    <w:rsid w:val="00337190"/>
    <w:rsid w:val="00337784"/>
    <w:rsid w:val="00337D82"/>
    <w:rsid w:val="00344159"/>
    <w:rsid w:val="003448CD"/>
    <w:rsid w:val="0034497B"/>
    <w:rsid w:val="0034680A"/>
    <w:rsid w:val="003476DF"/>
    <w:rsid w:val="00347A73"/>
    <w:rsid w:val="00347DD3"/>
    <w:rsid w:val="00350849"/>
    <w:rsid w:val="0035459B"/>
    <w:rsid w:val="00354696"/>
    <w:rsid w:val="0035519A"/>
    <w:rsid w:val="003565DF"/>
    <w:rsid w:val="00357562"/>
    <w:rsid w:val="0036059A"/>
    <w:rsid w:val="00360B7F"/>
    <w:rsid w:val="00360C7A"/>
    <w:rsid w:val="00361035"/>
    <w:rsid w:val="0036114C"/>
    <w:rsid w:val="0036390D"/>
    <w:rsid w:val="00363FF8"/>
    <w:rsid w:val="003640E1"/>
    <w:rsid w:val="003649B4"/>
    <w:rsid w:val="003655CD"/>
    <w:rsid w:val="0036610E"/>
    <w:rsid w:val="00366D0D"/>
    <w:rsid w:val="00370A35"/>
    <w:rsid w:val="0037201A"/>
    <w:rsid w:val="003721C9"/>
    <w:rsid w:val="00372EE8"/>
    <w:rsid w:val="00376491"/>
    <w:rsid w:val="0037721D"/>
    <w:rsid w:val="0038068F"/>
    <w:rsid w:val="0038102A"/>
    <w:rsid w:val="00382C9D"/>
    <w:rsid w:val="003833B4"/>
    <w:rsid w:val="0038382E"/>
    <w:rsid w:val="00385061"/>
    <w:rsid w:val="00385E76"/>
    <w:rsid w:val="00386ECE"/>
    <w:rsid w:val="00387A8B"/>
    <w:rsid w:val="00387B51"/>
    <w:rsid w:val="0039088A"/>
    <w:rsid w:val="00390AB5"/>
    <w:rsid w:val="00390CEF"/>
    <w:rsid w:val="00391841"/>
    <w:rsid w:val="00391D23"/>
    <w:rsid w:val="00392AFD"/>
    <w:rsid w:val="00392D58"/>
    <w:rsid w:val="00392E16"/>
    <w:rsid w:val="00393346"/>
    <w:rsid w:val="00394DEC"/>
    <w:rsid w:val="00395DB3"/>
    <w:rsid w:val="00396382"/>
    <w:rsid w:val="003A152E"/>
    <w:rsid w:val="003A220E"/>
    <w:rsid w:val="003A2416"/>
    <w:rsid w:val="003A3289"/>
    <w:rsid w:val="003A743E"/>
    <w:rsid w:val="003A7ADE"/>
    <w:rsid w:val="003B0286"/>
    <w:rsid w:val="003B2A34"/>
    <w:rsid w:val="003B3D8E"/>
    <w:rsid w:val="003B43F3"/>
    <w:rsid w:val="003B4BAF"/>
    <w:rsid w:val="003B57CC"/>
    <w:rsid w:val="003B6E2C"/>
    <w:rsid w:val="003B7DB1"/>
    <w:rsid w:val="003C01D4"/>
    <w:rsid w:val="003C132E"/>
    <w:rsid w:val="003C2C7D"/>
    <w:rsid w:val="003C2CC3"/>
    <w:rsid w:val="003C31E3"/>
    <w:rsid w:val="003C3B78"/>
    <w:rsid w:val="003C589B"/>
    <w:rsid w:val="003C5D89"/>
    <w:rsid w:val="003C69BF"/>
    <w:rsid w:val="003D09EE"/>
    <w:rsid w:val="003D23A3"/>
    <w:rsid w:val="003D2BEA"/>
    <w:rsid w:val="003D5856"/>
    <w:rsid w:val="003D5FC9"/>
    <w:rsid w:val="003D6F47"/>
    <w:rsid w:val="003E08FA"/>
    <w:rsid w:val="003E0DAB"/>
    <w:rsid w:val="003E159D"/>
    <w:rsid w:val="003E2423"/>
    <w:rsid w:val="003E3539"/>
    <w:rsid w:val="003E6055"/>
    <w:rsid w:val="003E6A6F"/>
    <w:rsid w:val="003F1A14"/>
    <w:rsid w:val="003F306F"/>
    <w:rsid w:val="003F30E3"/>
    <w:rsid w:val="003F362B"/>
    <w:rsid w:val="003F6F1A"/>
    <w:rsid w:val="003F7B48"/>
    <w:rsid w:val="0040060F"/>
    <w:rsid w:val="00400833"/>
    <w:rsid w:val="00401994"/>
    <w:rsid w:val="00401FDB"/>
    <w:rsid w:val="004022BE"/>
    <w:rsid w:val="00404090"/>
    <w:rsid w:val="00404E4F"/>
    <w:rsid w:val="004064F7"/>
    <w:rsid w:val="00406980"/>
    <w:rsid w:val="00407E3F"/>
    <w:rsid w:val="004112E1"/>
    <w:rsid w:val="00412427"/>
    <w:rsid w:val="00415775"/>
    <w:rsid w:val="00417424"/>
    <w:rsid w:val="00420220"/>
    <w:rsid w:val="00420258"/>
    <w:rsid w:val="004207DF"/>
    <w:rsid w:val="00420F0E"/>
    <w:rsid w:val="00421A53"/>
    <w:rsid w:val="00421B37"/>
    <w:rsid w:val="00422BAA"/>
    <w:rsid w:val="0042339A"/>
    <w:rsid w:val="00423B15"/>
    <w:rsid w:val="00424CB8"/>
    <w:rsid w:val="0042508F"/>
    <w:rsid w:val="00425383"/>
    <w:rsid w:val="00425389"/>
    <w:rsid w:val="00427DDB"/>
    <w:rsid w:val="004309E9"/>
    <w:rsid w:val="00431BAE"/>
    <w:rsid w:val="0043326D"/>
    <w:rsid w:val="004335B9"/>
    <w:rsid w:val="004344F0"/>
    <w:rsid w:val="004379C2"/>
    <w:rsid w:val="004400E8"/>
    <w:rsid w:val="00440EE7"/>
    <w:rsid w:val="004430F1"/>
    <w:rsid w:val="004451D2"/>
    <w:rsid w:val="0044584C"/>
    <w:rsid w:val="00446C3D"/>
    <w:rsid w:val="0044760F"/>
    <w:rsid w:val="00447A84"/>
    <w:rsid w:val="004503BD"/>
    <w:rsid w:val="00450C80"/>
    <w:rsid w:val="00452C4B"/>
    <w:rsid w:val="00453CE2"/>
    <w:rsid w:val="004544D6"/>
    <w:rsid w:val="00454764"/>
    <w:rsid w:val="00454B0A"/>
    <w:rsid w:val="00456671"/>
    <w:rsid w:val="00456AF0"/>
    <w:rsid w:val="00461CE9"/>
    <w:rsid w:val="00462407"/>
    <w:rsid w:val="00462CA3"/>
    <w:rsid w:val="004631DD"/>
    <w:rsid w:val="004635E8"/>
    <w:rsid w:val="004635FD"/>
    <w:rsid w:val="00463D8E"/>
    <w:rsid w:val="00467A68"/>
    <w:rsid w:val="00470129"/>
    <w:rsid w:val="00471021"/>
    <w:rsid w:val="004717D6"/>
    <w:rsid w:val="0047242E"/>
    <w:rsid w:val="004727A2"/>
    <w:rsid w:val="004728A0"/>
    <w:rsid w:val="004742DD"/>
    <w:rsid w:val="00475231"/>
    <w:rsid w:val="00475F4C"/>
    <w:rsid w:val="00482FE5"/>
    <w:rsid w:val="0048331F"/>
    <w:rsid w:val="00483A69"/>
    <w:rsid w:val="00484E96"/>
    <w:rsid w:val="00485A08"/>
    <w:rsid w:val="00485F97"/>
    <w:rsid w:val="00490527"/>
    <w:rsid w:val="0049296B"/>
    <w:rsid w:val="00492CB6"/>
    <w:rsid w:val="00494FF3"/>
    <w:rsid w:val="00496700"/>
    <w:rsid w:val="00496EB9"/>
    <w:rsid w:val="004A1C6E"/>
    <w:rsid w:val="004A2A0D"/>
    <w:rsid w:val="004A2FB8"/>
    <w:rsid w:val="004A4E60"/>
    <w:rsid w:val="004A51FB"/>
    <w:rsid w:val="004A5586"/>
    <w:rsid w:val="004A56FE"/>
    <w:rsid w:val="004A66D7"/>
    <w:rsid w:val="004B1531"/>
    <w:rsid w:val="004B1ED7"/>
    <w:rsid w:val="004B3B4B"/>
    <w:rsid w:val="004B4115"/>
    <w:rsid w:val="004B609E"/>
    <w:rsid w:val="004B61F8"/>
    <w:rsid w:val="004B6693"/>
    <w:rsid w:val="004B7632"/>
    <w:rsid w:val="004C0B10"/>
    <w:rsid w:val="004C12D9"/>
    <w:rsid w:val="004C3018"/>
    <w:rsid w:val="004C34D2"/>
    <w:rsid w:val="004C3F25"/>
    <w:rsid w:val="004C4823"/>
    <w:rsid w:val="004C5DE0"/>
    <w:rsid w:val="004C6C21"/>
    <w:rsid w:val="004C7A67"/>
    <w:rsid w:val="004D3737"/>
    <w:rsid w:val="004D6544"/>
    <w:rsid w:val="004E0158"/>
    <w:rsid w:val="004E0E82"/>
    <w:rsid w:val="004E1233"/>
    <w:rsid w:val="004E28C6"/>
    <w:rsid w:val="004E2CAC"/>
    <w:rsid w:val="004E5000"/>
    <w:rsid w:val="004E5723"/>
    <w:rsid w:val="004E67C5"/>
    <w:rsid w:val="004E6DE1"/>
    <w:rsid w:val="004F10E0"/>
    <w:rsid w:val="004F138F"/>
    <w:rsid w:val="004F2266"/>
    <w:rsid w:val="004F2D0A"/>
    <w:rsid w:val="004F420C"/>
    <w:rsid w:val="00500123"/>
    <w:rsid w:val="0050091A"/>
    <w:rsid w:val="005017CD"/>
    <w:rsid w:val="00501A15"/>
    <w:rsid w:val="00504997"/>
    <w:rsid w:val="00504FFA"/>
    <w:rsid w:val="00505AD0"/>
    <w:rsid w:val="0050629F"/>
    <w:rsid w:val="0050670B"/>
    <w:rsid w:val="00510E66"/>
    <w:rsid w:val="005112B2"/>
    <w:rsid w:val="00511B29"/>
    <w:rsid w:val="00511FD7"/>
    <w:rsid w:val="005124ED"/>
    <w:rsid w:val="005141E8"/>
    <w:rsid w:val="0051471C"/>
    <w:rsid w:val="005149F3"/>
    <w:rsid w:val="00514F34"/>
    <w:rsid w:val="00515830"/>
    <w:rsid w:val="00516A89"/>
    <w:rsid w:val="00517257"/>
    <w:rsid w:val="00517465"/>
    <w:rsid w:val="00520202"/>
    <w:rsid w:val="00521069"/>
    <w:rsid w:val="0052108D"/>
    <w:rsid w:val="00525649"/>
    <w:rsid w:val="005263C7"/>
    <w:rsid w:val="00526D30"/>
    <w:rsid w:val="00527342"/>
    <w:rsid w:val="005279D8"/>
    <w:rsid w:val="00527A18"/>
    <w:rsid w:val="0053028B"/>
    <w:rsid w:val="00530F13"/>
    <w:rsid w:val="005328A0"/>
    <w:rsid w:val="00533627"/>
    <w:rsid w:val="00534920"/>
    <w:rsid w:val="00534ABF"/>
    <w:rsid w:val="0053679D"/>
    <w:rsid w:val="00537995"/>
    <w:rsid w:val="00540033"/>
    <w:rsid w:val="00540326"/>
    <w:rsid w:val="00540B70"/>
    <w:rsid w:val="00540B78"/>
    <w:rsid w:val="005412D8"/>
    <w:rsid w:val="00543647"/>
    <w:rsid w:val="0054370B"/>
    <w:rsid w:val="00543739"/>
    <w:rsid w:val="00544661"/>
    <w:rsid w:val="00545302"/>
    <w:rsid w:val="00545D06"/>
    <w:rsid w:val="00545D4F"/>
    <w:rsid w:val="00547ADB"/>
    <w:rsid w:val="00547D84"/>
    <w:rsid w:val="00550C99"/>
    <w:rsid w:val="00551223"/>
    <w:rsid w:val="0055158D"/>
    <w:rsid w:val="005529D8"/>
    <w:rsid w:val="00553413"/>
    <w:rsid w:val="00554DD3"/>
    <w:rsid w:val="005559DE"/>
    <w:rsid w:val="00555AB2"/>
    <w:rsid w:val="00555B82"/>
    <w:rsid w:val="00556861"/>
    <w:rsid w:val="0056053E"/>
    <w:rsid w:val="00560E91"/>
    <w:rsid w:val="00561129"/>
    <w:rsid w:val="0056207C"/>
    <w:rsid w:val="00562410"/>
    <w:rsid w:val="00562590"/>
    <w:rsid w:val="00563B5B"/>
    <w:rsid w:val="00565388"/>
    <w:rsid w:val="00566EBE"/>
    <w:rsid w:val="0056710A"/>
    <w:rsid w:val="005700F3"/>
    <w:rsid w:val="005703EF"/>
    <w:rsid w:val="00571371"/>
    <w:rsid w:val="0057158B"/>
    <w:rsid w:val="00571C54"/>
    <w:rsid w:val="00572152"/>
    <w:rsid w:val="005725FD"/>
    <w:rsid w:val="005729DB"/>
    <w:rsid w:val="005742CC"/>
    <w:rsid w:val="005754AB"/>
    <w:rsid w:val="00580A4A"/>
    <w:rsid w:val="00582314"/>
    <w:rsid w:val="005826F4"/>
    <w:rsid w:val="00582E05"/>
    <w:rsid w:val="005830AA"/>
    <w:rsid w:val="0058369E"/>
    <w:rsid w:val="00585395"/>
    <w:rsid w:val="00585817"/>
    <w:rsid w:val="00585973"/>
    <w:rsid w:val="00586A8B"/>
    <w:rsid w:val="00586B6C"/>
    <w:rsid w:val="0058772E"/>
    <w:rsid w:val="00590D09"/>
    <w:rsid w:val="0059156A"/>
    <w:rsid w:val="00593314"/>
    <w:rsid w:val="0059368E"/>
    <w:rsid w:val="00593BF5"/>
    <w:rsid w:val="00594496"/>
    <w:rsid w:val="005956D3"/>
    <w:rsid w:val="00596365"/>
    <w:rsid w:val="005965BC"/>
    <w:rsid w:val="005A1AEF"/>
    <w:rsid w:val="005A2C7E"/>
    <w:rsid w:val="005A35F6"/>
    <w:rsid w:val="005A5603"/>
    <w:rsid w:val="005A7E78"/>
    <w:rsid w:val="005B03ED"/>
    <w:rsid w:val="005B1776"/>
    <w:rsid w:val="005B1BA3"/>
    <w:rsid w:val="005B32FB"/>
    <w:rsid w:val="005B4304"/>
    <w:rsid w:val="005B4AC0"/>
    <w:rsid w:val="005B5C09"/>
    <w:rsid w:val="005B729D"/>
    <w:rsid w:val="005B7FE4"/>
    <w:rsid w:val="005C000E"/>
    <w:rsid w:val="005C05E0"/>
    <w:rsid w:val="005C076E"/>
    <w:rsid w:val="005C0F0A"/>
    <w:rsid w:val="005C19FC"/>
    <w:rsid w:val="005C37E0"/>
    <w:rsid w:val="005C43E6"/>
    <w:rsid w:val="005C4774"/>
    <w:rsid w:val="005C4A62"/>
    <w:rsid w:val="005C501B"/>
    <w:rsid w:val="005C54B9"/>
    <w:rsid w:val="005C5A1C"/>
    <w:rsid w:val="005C6618"/>
    <w:rsid w:val="005D0189"/>
    <w:rsid w:val="005D1D79"/>
    <w:rsid w:val="005D24CB"/>
    <w:rsid w:val="005D310A"/>
    <w:rsid w:val="005D7738"/>
    <w:rsid w:val="005E22F9"/>
    <w:rsid w:val="005E295C"/>
    <w:rsid w:val="005E3DAC"/>
    <w:rsid w:val="005E4470"/>
    <w:rsid w:val="005E52C0"/>
    <w:rsid w:val="005E5794"/>
    <w:rsid w:val="005F5679"/>
    <w:rsid w:val="005F6CEB"/>
    <w:rsid w:val="00600209"/>
    <w:rsid w:val="00602F6F"/>
    <w:rsid w:val="00603FD5"/>
    <w:rsid w:val="0060460B"/>
    <w:rsid w:val="0060472E"/>
    <w:rsid w:val="006064F6"/>
    <w:rsid w:val="00606D25"/>
    <w:rsid w:val="00607E63"/>
    <w:rsid w:val="00607F03"/>
    <w:rsid w:val="00610627"/>
    <w:rsid w:val="00610F6C"/>
    <w:rsid w:val="006129E9"/>
    <w:rsid w:val="0061477B"/>
    <w:rsid w:val="00615BE1"/>
    <w:rsid w:val="006164BF"/>
    <w:rsid w:val="006168A9"/>
    <w:rsid w:val="00616DC8"/>
    <w:rsid w:val="00616E9B"/>
    <w:rsid w:val="00617211"/>
    <w:rsid w:val="00617518"/>
    <w:rsid w:val="006204D6"/>
    <w:rsid w:val="00620548"/>
    <w:rsid w:val="00621B78"/>
    <w:rsid w:val="00621C50"/>
    <w:rsid w:val="00622E16"/>
    <w:rsid w:val="00622E40"/>
    <w:rsid w:val="006235D5"/>
    <w:rsid w:val="0062446C"/>
    <w:rsid w:val="00624593"/>
    <w:rsid w:val="00624B90"/>
    <w:rsid w:val="00625274"/>
    <w:rsid w:val="00626527"/>
    <w:rsid w:val="00630F02"/>
    <w:rsid w:val="0063295C"/>
    <w:rsid w:val="00634088"/>
    <w:rsid w:val="00634251"/>
    <w:rsid w:val="0063680B"/>
    <w:rsid w:val="00636D45"/>
    <w:rsid w:val="00636EFD"/>
    <w:rsid w:val="006377BC"/>
    <w:rsid w:val="00637C41"/>
    <w:rsid w:val="00642172"/>
    <w:rsid w:val="0064359C"/>
    <w:rsid w:val="006437A3"/>
    <w:rsid w:val="00643B51"/>
    <w:rsid w:val="0064485B"/>
    <w:rsid w:val="00645A26"/>
    <w:rsid w:val="006473AB"/>
    <w:rsid w:val="00647433"/>
    <w:rsid w:val="006475BD"/>
    <w:rsid w:val="00647ACC"/>
    <w:rsid w:val="00650744"/>
    <w:rsid w:val="0065149F"/>
    <w:rsid w:val="006526C1"/>
    <w:rsid w:val="006527FF"/>
    <w:rsid w:val="00653412"/>
    <w:rsid w:val="00654529"/>
    <w:rsid w:val="00654BAA"/>
    <w:rsid w:val="00655AD5"/>
    <w:rsid w:val="00656A8A"/>
    <w:rsid w:val="0066170D"/>
    <w:rsid w:val="00662209"/>
    <w:rsid w:val="0066221F"/>
    <w:rsid w:val="0066222F"/>
    <w:rsid w:val="006626D8"/>
    <w:rsid w:val="00663830"/>
    <w:rsid w:val="006638E5"/>
    <w:rsid w:val="00664E83"/>
    <w:rsid w:val="0067015A"/>
    <w:rsid w:val="006709E1"/>
    <w:rsid w:val="00670E80"/>
    <w:rsid w:val="006735F6"/>
    <w:rsid w:val="00674D52"/>
    <w:rsid w:val="006752EA"/>
    <w:rsid w:val="00675899"/>
    <w:rsid w:val="00675E8F"/>
    <w:rsid w:val="00681434"/>
    <w:rsid w:val="00681DD1"/>
    <w:rsid w:val="00683DC0"/>
    <w:rsid w:val="006840B9"/>
    <w:rsid w:val="0068540C"/>
    <w:rsid w:val="0068724F"/>
    <w:rsid w:val="006878F7"/>
    <w:rsid w:val="00687906"/>
    <w:rsid w:val="00691312"/>
    <w:rsid w:val="006936DA"/>
    <w:rsid w:val="0069395F"/>
    <w:rsid w:val="00694804"/>
    <w:rsid w:val="006967B2"/>
    <w:rsid w:val="006969CB"/>
    <w:rsid w:val="006A1DEF"/>
    <w:rsid w:val="006A21EF"/>
    <w:rsid w:val="006A2AB9"/>
    <w:rsid w:val="006A2C80"/>
    <w:rsid w:val="006A3932"/>
    <w:rsid w:val="006A3ACF"/>
    <w:rsid w:val="006A3E13"/>
    <w:rsid w:val="006A5D5D"/>
    <w:rsid w:val="006A7069"/>
    <w:rsid w:val="006A7793"/>
    <w:rsid w:val="006B1731"/>
    <w:rsid w:val="006B5977"/>
    <w:rsid w:val="006B5BDF"/>
    <w:rsid w:val="006C018B"/>
    <w:rsid w:val="006C0FF3"/>
    <w:rsid w:val="006C2B35"/>
    <w:rsid w:val="006C36D5"/>
    <w:rsid w:val="006C3F24"/>
    <w:rsid w:val="006C443C"/>
    <w:rsid w:val="006C4AF4"/>
    <w:rsid w:val="006C4C82"/>
    <w:rsid w:val="006C6069"/>
    <w:rsid w:val="006C633D"/>
    <w:rsid w:val="006C6775"/>
    <w:rsid w:val="006D095B"/>
    <w:rsid w:val="006D3F2F"/>
    <w:rsid w:val="006D4212"/>
    <w:rsid w:val="006D4F09"/>
    <w:rsid w:val="006D5F4F"/>
    <w:rsid w:val="006D7672"/>
    <w:rsid w:val="006E01A2"/>
    <w:rsid w:val="006E3536"/>
    <w:rsid w:val="006E47CA"/>
    <w:rsid w:val="006E5671"/>
    <w:rsid w:val="006E57B3"/>
    <w:rsid w:val="006E6DE8"/>
    <w:rsid w:val="006E70B3"/>
    <w:rsid w:val="006E7122"/>
    <w:rsid w:val="006E7DD3"/>
    <w:rsid w:val="006F052D"/>
    <w:rsid w:val="006F0A08"/>
    <w:rsid w:val="006F0D85"/>
    <w:rsid w:val="006F1B53"/>
    <w:rsid w:val="006F1F85"/>
    <w:rsid w:val="006F36CE"/>
    <w:rsid w:val="006F79D4"/>
    <w:rsid w:val="00701100"/>
    <w:rsid w:val="00701DC2"/>
    <w:rsid w:val="0070296C"/>
    <w:rsid w:val="007051E7"/>
    <w:rsid w:val="0071337F"/>
    <w:rsid w:val="00714488"/>
    <w:rsid w:val="007158C6"/>
    <w:rsid w:val="0071603A"/>
    <w:rsid w:val="00720507"/>
    <w:rsid w:val="007210F9"/>
    <w:rsid w:val="007215EF"/>
    <w:rsid w:val="00721A0E"/>
    <w:rsid w:val="007231A4"/>
    <w:rsid w:val="00724174"/>
    <w:rsid w:val="007245F6"/>
    <w:rsid w:val="0072636B"/>
    <w:rsid w:val="00726BA2"/>
    <w:rsid w:val="007301C9"/>
    <w:rsid w:val="007308D4"/>
    <w:rsid w:val="00733338"/>
    <w:rsid w:val="00734928"/>
    <w:rsid w:val="00734AEF"/>
    <w:rsid w:val="007373F6"/>
    <w:rsid w:val="00740344"/>
    <w:rsid w:val="00742F0D"/>
    <w:rsid w:val="00743548"/>
    <w:rsid w:val="00744120"/>
    <w:rsid w:val="00747BF9"/>
    <w:rsid w:val="007506DE"/>
    <w:rsid w:val="00751BE7"/>
    <w:rsid w:val="00752F75"/>
    <w:rsid w:val="007531C8"/>
    <w:rsid w:val="0075386F"/>
    <w:rsid w:val="00753FAA"/>
    <w:rsid w:val="00754404"/>
    <w:rsid w:val="00760304"/>
    <w:rsid w:val="00760AEB"/>
    <w:rsid w:val="00760E1B"/>
    <w:rsid w:val="007613B6"/>
    <w:rsid w:val="00761AE6"/>
    <w:rsid w:val="00762F69"/>
    <w:rsid w:val="007645ED"/>
    <w:rsid w:val="00764FE1"/>
    <w:rsid w:val="00766428"/>
    <w:rsid w:val="007669DE"/>
    <w:rsid w:val="00767EAE"/>
    <w:rsid w:val="00770DB0"/>
    <w:rsid w:val="00774B9A"/>
    <w:rsid w:val="00775165"/>
    <w:rsid w:val="0077701A"/>
    <w:rsid w:val="0077727F"/>
    <w:rsid w:val="007801BA"/>
    <w:rsid w:val="00780AAD"/>
    <w:rsid w:val="00781E8D"/>
    <w:rsid w:val="0078533C"/>
    <w:rsid w:val="0078601E"/>
    <w:rsid w:val="00792A4B"/>
    <w:rsid w:val="00793590"/>
    <w:rsid w:val="00794059"/>
    <w:rsid w:val="00794A40"/>
    <w:rsid w:val="00794FA4"/>
    <w:rsid w:val="007968B7"/>
    <w:rsid w:val="00796DAC"/>
    <w:rsid w:val="007A0363"/>
    <w:rsid w:val="007A09E6"/>
    <w:rsid w:val="007A1805"/>
    <w:rsid w:val="007A20CC"/>
    <w:rsid w:val="007A29A2"/>
    <w:rsid w:val="007A5BB9"/>
    <w:rsid w:val="007A6BA2"/>
    <w:rsid w:val="007B039A"/>
    <w:rsid w:val="007B068B"/>
    <w:rsid w:val="007B1C7E"/>
    <w:rsid w:val="007B272F"/>
    <w:rsid w:val="007B4110"/>
    <w:rsid w:val="007B5037"/>
    <w:rsid w:val="007B6735"/>
    <w:rsid w:val="007B6AF8"/>
    <w:rsid w:val="007B73A2"/>
    <w:rsid w:val="007C0FF9"/>
    <w:rsid w:val="007C10BF"/>
    <w:rsid w:val="007C2111"/>
    <w:rsid w:val="007C3475"/>
    <w:rsid w:val="007C3CED"/>
    <w:rsid w:val="007C5DAE"/>
    <w:rsid w:val="007C641E"/>
    <w:rsid w:val="007C6A55"/>
    <w:rsid w:val="007D060D"/>
    <w:rsid w:val="007D1569"/>
    <w:rsid w:val="007D158F"/>
    <w:rsid w:val="007D1B47"/>
    <w:rsid w:val="007D1E98"/>
    <w:rsid w:val="007D25EB"/>
    <w:rsid w:val="007D4A42"/>
    <w:rsid w:val="007D509E"/>
    <w:rsid w:val="007D56DF"/>
    <w:rsid w:val="007D5710"/>
    <w:rsid w:val="007E06A6"/>
    <w:rsid w:val="007E1800"/>
    <w:rsid w:val="007E1A38"/>
    <w:rsid w:val="007E1B05"/>
    <w:rsid w:val="007E1FA6"/>
    <w:rsid w:val="007E1FC8"/>
    <w:rsid w:val="007E2C4F"/>
    <w:rsid w:val="007E3669"/>
    <w:rsid w:val="007E41F7"/>
    <w:rsid w:val="007E4B18"/>
    <w:rsid w:val="007E7120"/>
    <w:rsid w:val="007F196D"/>
    <w:rsid w:val="007F4FAE"/>
    <w:rsid w:val="007F5F49"/>
    <w:rsid w:val="007F6E23"/>
    <w:rsid w:val="00800610"/>
    <w:rsid w:val="008017BC"/>
    <w:rsid w:val="008019CC"/>
    <w:rsid w:val="0080322B"/>
    <w:rsid w:val="008035C3"/>
    <w:rsid w:val="00803705"/>
    <w:rsid w:val="00803F26"/>
    <w:rsid w:val="008047E6"/>
    <w:rsid w:val="00804B8B"/>
    <w:rsid w:val="008059A7"/>
    <w:rsid w:val="00806686"/>
    <w:rsid w:val="00806F63"/>
    <w:rsid w:val="00807F06"/>
    <w:rsid w:val="00811196"/>
    <w:rsid w:val="00811447"/>
    <w:rsid w:val="00811609"/>
    <w:rsid w:val="00812C40"/>
    <w:rsid w:val="00814E65"/>
    <w:rsid w:val="0081533C"/>
    <w:rsid w:val="008161D7"/>
    <w:rsid w:val="00816782"/>
    <w:rsid w:val="008170A8"/>
    <w:rsid w:val="00817239"/>
    <w:rsid w:val="00820661"/>
    <w:rsid w:val="00822BAB"/>
    <w:rsid w:val="00823D67"/>
    <w:rsid w:val="0082437F"/>
    <w:rsid w:val="00825A2C"/>
    <w:rsid w:val="00825B7C"/>
    <w:rsid w:val="00825FA0"/>
    <w:rsid w:val="00826821"/>
    <w:rsid w:val="0082736C"/>
    <w:rsid w:val="008300B6"/>
    <w:rsid w:val="00831064"/>
    <w:rsid w:val="00836262"/>
    <w:rsid w:val="00836E3A"/>
    <w:rsid w:val="0083707F"/>
    <w:rsid w:val="00837210"/>
    <w:rsid w:val="00837541"/>
    <w:rsid w:val="008402CC"/>
    <w:rsid w:val="00840A4A"/>
    <w:rsid w:val="0084238D"/>
    <w:rsid w:val="00843D44"/>
    <w:rsid w:val="00843E97"/>
    <w:rsid w:val="008472B8"/>
    <w:rsid w:val="008529A2"/>
    <w:rsid w:val="0085439B"/>
    <w:rsid w:val="00855258"/>
    <w:rsid w:val="0085530A"/>
    <w:rsid w:val="008565BC"/>
    <w:rsid w:val="00856756"/>
    <w:rsid w:val="00856EB0"/>
    <w:rsid w:val="008579B4"/>
    <w:rsid w:val="00860E44"/>
    <w:rsid w:val="008622B7"/>
    <w:rsid w:val="00862476"/>
    <w:rsid w:val="008629B7"/>
    <w:rsid w:val="00862D0D"/>
    <w:rsid w:val="0086405F"/>
    <w:rsid w:val="00866FB2"/>
    <w:rsid w:val="00867855"/>
    <w:rsid w:val="0087034F"/>
    <w:rsid w:val="00871324"/>
    <w:rsid w:val="00871345"/>
    <w:rsid w:val="00871A6C"/>
    <w:rsid w:val="00872A6F"/>
    <w:rsid w:val="008731CB"/>
    <w:rsid w:val="00874CAC"/>
    <w:rsid w:val="00875841"/>
    <w:rsid w:val="00875CCB"/>
    <w:rsid w:val="00877CD4"/>
    <w:rsid w:val="00880068"/>
    <w:rsid w:val="008833F3"/>
    <w:rsid w:val="008835FC"/>
    <w:rsid w:val="00883B8B"/>
    <w:rsid w:val="00890591"/>
    <w:rsid w:val="008912BC"/>
    <w:rsid w:val="008924FD"/>
    <w:rsid w:val="008940A5"/>
    <w:rsid w:val="00896C96"/>
    <w:rsid w:val="00897793"/>
    <w:rsid w:val="008A115B"/>
    <w:rsid w:val="008A1311"/>
    <w:rsid w:val="008A1632"/>
    <w:rsid w:val="008A6F83"/>
    <w:rsid w:val="008B05C3"/>
    <w:rsid w:val="008B11E6"/>
    <w:rsid w:val="008B30B0"/>
    <w:rsid w:val="008B4965"/>
    <w:rsid w:val="008B5785"/>
    <w:rsid w:val="008B5E5F"/>
    <w:rsid w:val="008B677A"/>
    <w:rsid w:val="008B78B1"/>
    <w:rsid w:val="008C08CE"/>
    <w:rsid w:val="008C19E4"/>
    <w:rsid w:val="008C1CCF"/>
    <w:rsid w:val="008D19FD"/>
    <w:rsid w:val="008D1ABD"/>
    <w:rsid w:val="008D3599"/>
    <w:rsid w:val="008D3A0D"/>
    <w:rsid w:val="008D5782"/>
    <w:rsid w:val="008D7B57"/>
    <w:rsid w:val="008D7B76"/>
    <w:rsid w:val="008D7DC8"/>
    <w:rsid w:val="008E0094"/>
    <w:rsid w:val="008E25D6"/>
    <w:rsid w:val="008E53A2"/>
    <w:rsid w:val="008E5C43"/>
    <w:rsid w:val="008E741B"/>
    <w:rsid w:val="008E7A6F"/>
    <w:rsid w:val="008E7BD4"/>
    <w:rsid w:val="008F0A95"/>
    <w:rsid w:val="008F2F58"/>
    <w:rsid w:val="008F388E"/>
    <w:rsid w:val="008F44E6"/>
    <w:rsid w:val="008F567D"/>
    <w:rsid w:val="008F5C04"/>
    <w:rsid w:val="008F5DE0"/>
    <w:rsid w:val="008F6F1A"/>
    <w:rsid w:val="008F7897"/>
    <w:rsid w:val="008F7BA9"/>
    <w:rsid w:val="0090045F"/>
    <w:rsid w:val="00900B05"/>
    <w:rsid w:val="009010A2"/>
    <w:rsid w:val="0090137A"/>
    <w:rsid w:val="00903370"/>
    <w:rsid w:val="0090474B"/>
    <w:rsid w:val="009049A9"/>
    <w:rsid w:val="00904DFA"/>
    <w:rsid w:val="00905B54"/>
    <w:rsid w:val="00907115"/>
    <w:rsid w:val="0091158C"/>
    <w:rsid w:val="00912086"/>
    <w:rsid w:val="0091349A"/>
    <w:rsid w:val="00914399"/>
    <w:rsid w:val="0091530C"/>
    <w:rsid w:val="00915642"/>
    <w:rsid w:val="009158BF"/>
    <w:rsid w:val="00916DCC"/>
    <w:rsid w:val="0091734B"/>
    <w:rsid w:val="009203F6"/>
    <w:rsid w:val="009219CD"/>
    <w:rsid w:val="00922B96"/>
    <w:rsid w:val="009239CA"/>
    <w:rsid w:val="00923D03"/>
    <w:rsid w:val="00923F82"/>
    <w:rsid w:val="0092434D"/>
    <w:rsid w:val="009246DC"/>
    <w:rsid w:val="00926AC1"/>
    <w:rsid w:val="00926FE7"/>
    <w:rsid w:val="0092746D"/>
    <w:rsid w:val="00932251"/>
    <w:rsid w:val="00932A6A"/>
    <w:rsid w:val="00933E08"/>
    <w:rsid w:val="00933E4B"/>
    <w:rsid w:val="009342FC"/>
    <w:rsid w:val="00936068"/>
    <w:rsid w:val="00936619"/>
    <w:rsid w:val="00942E35"/>
    <w:rsid w:val="00943806"/>
    <w:rsid w:val="00944AC2"/>
    <w:rsid w:val="00946351"/>
    <w:rsid w:val="00946C03"/>
    <w:rsid w:val="009517CC"/>
    <w:rsid w:val="00955841"/>
    <w:rsid w:val="00955ECE"/>
    <w:rsid w:val="009615D4"/>
    <w:rsid w:val="00962905"/>
    <w:rsid w:val="00962B81"/>
    <w:rsid w:val="0096453A"/>
    <w:rsid w:val="009657AC"/>
    <w:rsid w:val="00965B9F"/>
    <w:rsid w:val="00970701"/>
    <w:rsid w:val="00970A20"/>
    <w:rsid w:val="00970FD1"/>
    <w:rsid w:val="009714DE"/>
    <w:rsid w:val="0097163D"/>
    <w:rsid w:val="009721F8"/>
    <w:rsid w:val="00972DAC"/>
    <w:rsid w:val="00973650"/>
    <w:rsid w:val="00973BC9"/>
    <w:rsid w:val="00974677"/>
    <w:rsid w:val="00975E1C"/>
    <w:rsid w:val="00976023"/>
    <w:rsid w:val="00980461"/>
    <w:rsid w:val="009835E0"/>
    <w:rsid w:val="009853D8"/>
    <w:rsid w:val="0098642A"/>
    <w:rsid w:val="009864AF"/>
    <w:rsid w:val="00986AF8"/>
    <w:rsid w:val="0098763E"/>
    <w:rsid w:val="009901F4"/>
    <w:rsid w:val="00990AC8"/>
    <w:rsid w:val="00991D33"/>
    <w:rsid w:val="009968F0"/>
    <w:rsid w:val="009969C3"/>
    <w:rsid w:val="009A09F1"/>
    <w:rsid w:val="009A0CB8"/>
    <w:rsid w:val="009A1131"/>
    <w:rsid w:val="009A2F17"/>
    <w:rsid w:val="009A2FA0"/>
    <w:rsid w:val="009A3C2B"/>
    <w:rsid w:val="009A6F4C"/>
    <w:rsid w:val="009B2942"/>
    <w:rsid w:val="009B3DA2"/>
    <w:rsid w:val="009C2DB4"/>
    <w:rsid w:val="009C4EF1"/>
    <w:rsid w:val="009C6075"/>
    <w:rsid w:val="009C6E83"/>
    <w:rsid w:val="009C7B24"/>
    <w:rsid w:val="009D0257"/>
    <w:rsid w:val="009D17D9"/>
    <w:rsid w:val="009D24F5"/>
    <w:rsid w:val="009D37E6"/>
    <w:rsid w:val="009D4E24"/>
    <w:rsid w:val="009D5949"/>
    <w:rsid w:val="009D599E"/>
    <w:rsid w:val="009D5D21"/>
    <w:rsid w:val="009D681C"/>
    <w:rsid w:val="009D73F4"/>
    <w:rsid w:val="009D7846"/>
    <w:rsid w:val="009E19A3"/>
    <w:rsid w:val="009E1D2B"/>
    <w:rsid w:val="009E2BF5"/>
    <w:rsid w:val="009E3970"/>
    <w:rsid w:val="009E41EF"/>
    <w:rsid w:val="009E4DC0"/>
    <w:rsid w:val="009E4EFE"/>
    <w:rsid w:val="009E5D24"/>
    <w:rsid w:val="009E7E45"/>
    <w:rsid w:val="009F31E3"/>
    <w:rsid w:val="009F3BAA"/>
    <w:rsid w:val="009F44A1"/>
    <w:rsid w:val="009F5602"/>
    <w:rsid w:val="009F59C6"/>
    <w:rsid w:val="009F6305"/>
    <w:rsid w:val="00A05777"/>
    <w:rsid w:val="00A05DA4"/>
    <w:rsid w:val="00A06433"/>
    <w:rsid w:val="00A0757A"/>
    <w:rsid w:val="00A1174B"/>
    <w:rsid w:val="00A128B7"/>
    <w:rsid w:val="00A13664"/>
    <w:rsid w:val="00A14911"/>
    <w:rsid w:val="00A17682"/>
    <w:rsid w:val="00A17F91"/>
    <w:rsid w:val="00A22B15"/>
    <w:rsid w:val="00A2344D"/>
    <w:rsid w:val="00A23534"/>
    <w:rsid w:val="00A32C6F"/>
    <w:rsid w:val="00A33C15"/>
    <w:rsid w:val="00A40628"/>
    <w:rsid w:val="00A409F8"/>
    <w:rsid w:val="00A416AD"/>
    <w:rsid w:val="00A417F6"/>
    <w:rsid w:val="00A41ACD"/>
    <w:rsid w:val="00A42FBC"/>
    <w:rsid w:val="00A45FA2"/>
    <w:rsid w:val="00A471AE"/>
    <w:rsid w:val="00A47509"/>
    <w:rsid w:val="00A478B1"/>
    <w:rsid w:val="00A50CD9"/>
    <w:rsid w:val="00A510B5"/>
    <w:rsid w:val="00A51374"/>
    <w:rsid w:val="00A514D8"/>
    <w:rsid w:val="00A527F3"/>
    <w:rsid w:val="00A5529A"/>
    <w:rsid w:val="00A5589A"/>
    <w:rsid w:val="00A5703F"/>
    <w:rsid w:val="00A574EA"/>
    <w:rsid w:val="00A576F1"/>
    <w:rsid w:val="00A57D0A"/>
    <w:rsid w:val="00A65CFE"/>
    <w:rsid w:val="00A65DCB"/>
    <w:rsid w:val="00A6678E"/>
    <w:rsid w:val="00A670F6"/>
    <w:rsid w:val="00A6770A"/>
    <w:rsid w:val="00A67BC9"/>
    <w:rsid w:val="00A71DD4"/>
    <w:rsid w:val="00A73211"/>
    <w:rsid w:val="00A73476"/>
    <w:rsid w:val="00A738BE"/>
    <w:rsid w:val="00A75022"/>
    <w:rsid w:val="00A757E0"/>
    <w:rsid w:val="00A75CE0"/>
    <w:rsid w:val="00A75DCB"/>
    <w:rsid w:val="00A76587"/>
    <w:rsid w:val="00A803F2"/>
    <w:rsid w:val="00A8048C"/>
    <w:rsid w:val="00A8183A"/>
    <w:rsid w:val="00A821F3"/>
    <w:rsid w:val="00A82302"/>
    <w:rsid w:val="00A86051"/>
    <w:rsid w:val="00A86155"/>
    <w:rsid w:val="00A8625F"/>
    <w:rsid w:val="00A879B5"/>
    <w:rsid w:val="00A87AB4"/>
    <w:rsid w:val="00A90151"/>
    <w:rsid w:val="00A90256"/>
    <w:rsid w:val="00A90B34"/>
    <w:rsid w:val="00A91491"/>
    <w:rsid w:val="00A92142"/>
    <w:rsid w:val="00A9359B"/>
    <w:rsid w:val="00A94E0D"/>
    <w:rsid w:val="00A9545C"/>
    <w:rsid w:val="00A95BE1"/>
    <w:rsid w:val="00A970A6"/>
    <w:rsid w:val="00AA00F8"/>
    <w:rsid w:val="00AA161A"/>
    <w:rsid w:val="00AA163B"/>
    <w:rsid w:val="00AA3569"/>
    <w:rsid w:val="00AA4183"/>
    <w:rsid w:val="00AA446B"/>
    <w:rsid w:val="00AA4AD6"/>
    <w:rsid w:val="00AA4C8E"/>
    <w:rsid w:val="00AA625C"/>
    <w:rsid w:val="00AB10F4"/>
    <w:rsid w:val="00AB2D17"/>
    <w:rsid w:val="00AB34AD"/>
    <w:rsid w:val="00AB46E2"/>
    <w:rsid w:val="00AB6FCA"/>
    <w:rsid w:val="00AB71A2"/>
    <w:rsid w:val="00AB78CF"/>
    <w:rsid w:val="00AC1F6F"/>
    <w:rsid w:val="00AC317B"/>
    <w:rsid w:val="00AC3F2D"/>
    <w:rsid w:val="00AC4F7C"/>
    <w:rsid w:val="00AC587D"/>
    <w:rsid w:val="00AC6AB4"/>
    <w:rsid w:val="00AC707B"/>
    <w:rsid w:val="00AC79DB"/>
    <w:rsid w:val="00AD1AA2"/>
    <w:rsid w:val="00AD2E32"/>
    <w:rsid w:val="00AD31AA"/>
    <w:rsid w:val="00AD3671"/>
    <w:rsid w:val="00AD3D6A"/>
    <w:rsid w:val="00AD64B6"/>
    <w:rsid w:val="00AD6C85"/>
    <w:rsid w:val="00AD7A30"/>
    <w:rsid w:val="00AE2030"/>
    <w:rsid w:val="00AE270C"/>
    <w:rsid w:val="00AE2F53"/>
    <w:rsid w:val="00AE3BCA"/>
    <w:rsid w:val="00AE4588"/>
    <w:rsid w:val="00AE4593"/>
    <w:rsid w:val="00AE5ACD"/>
    <w:rsid w:val="00AF28A2"/>
    <w:rsid w:val="00AF3BD9"/>
    <w:rsid w:val="00AF4472"/>
    <w:rsid w:val="00AF46AD"/>
    <w:rsid w:val="00AF479F"/>
    <w:rsid w:val="00AF6335"/>
    <w:rsid w:val="00B011E6"/>
    <w:rsid w:val="00B03AD2"/>
    <w:rsid w:val="00B044BC"/>
    <w:rsid w:val="00B045F6"/>
    <w:rsid w:val="00B04B8F"/>
    <w:rsid w:val="00B052B2"/>
    <w:rsid w:val="00B11F80"/>
    <w:rsid w:val="00B13741"/>
    <w:rsid w:val="00B140F7"/>
    <w:rsid w:val="00B14DAB"/>
    <w:rsid w:val="00B15336"/>
    <w:rsid w:val="00B16C7D"/>
    <w:rsid w:val="00B16ED7"/>
    <w:rsid w:val="00B229BD"/>
    <w:rsid w:val="00B23258"/>
    <w:rsid w:val="00B23603"/>
    <w:rsid w:val="00B25C98"/>
    <w:rsid w:val="00B26ABC"/>
    <w:rsid w:val="00B302FA"/>
    <w:rsid w:val="00B32D6C"/>
    <w:rsid w:val="00B33EBA"/>
    <w:rsid w:val="00B34048"/>
    <w:rsid w:val="00B36C4F"/>
    <w:rsid w:val="00B3749D"/>
    <w:rsid w:val="00B40EC6"/>
    <w:rsid w:val="00B4278E"/>
    <w:rsid w:val="00B43D77"/>
    <w:rsid w:val="00B443CC"/>
    <w:rsid w:val="00B44402"/>
    <w:rsid w:val="00B45E92"/>
    <w:rsid w:val="00B46152"/>
    <w:rsid w:val="00B46DB9"/>
    <w:rsid w:val="00B5147E"/>
    <w:rsid w:val="00B523D7"/>
    <w:rsid w:val="00B54A70"/>
    <w:rsid w:val="00B5604B"/>
    <w:rsid w:val="00B56470"/>
    <w:rsid w:val="00B607F9"/>
    <w:rsid w:val="00B60E2A"/>
    <w:rsid w:val="00B60E9D"/>
    <w:rsid w:val="00B65833"/>
    <w:rsid w:val="00B659D4"/>
    <w:rsid w:val="00B65DAA"/>
    <w:rsid w:val="00B66B2F"/>
    <w:rsid w:val="00B670CF"/>
    <w:rsid w:val="00B679C7"/>
    <w:rsid w:val="00B67D3D"/>
    <w:rsid w:val="00B70157"/>
    <w:rsid w:val="00B70FE7"/>
    <w:rsid w:val="00B7150B"/>
    <w:rsid w:val="00B715F4"/>
    <w:rsid w:val="00B720EC"/>
    <w:rsid w:val="00B72C9C"/>
    <w:rsid w:val="00B74F7F"/>
    <w:rsid w:val="00B75B08"/>
    <w:rsid w:val="00B7663C"/>
    <w:rsid w:val="00B82C20"/>
    <w:rsid w:val="00B83516"/>
    <w:rsid w:val="00B84869"/>
    <w:rsid w:val="00B85708"/>
    <w:rsid w:val="00B86607"/>
    <w:rsid w:val="00B86B29"/>
    <w:rsid w:val="00B87859"/>
    <w:rsid w:val="00B9038B"/>
    <w:rsid w:val="00B90E4E"/>
    <w:rsid w:val="00B91D47"/>
    <w:rsid w:val="00B94031"/>
    <w:rsid w:val="00B94B3A"/>
    <w:rsid w:val="00B953E2"/>
    <w:rsid w:val="00B9661C"/>
    <w:rsid w:val="00BA0A8D"/>
    <w:rsid w:val="00BA1444"/>
    <w:rsid w:val="00BA2D2B"/>
    <w:rsid w:val="00BA3CB8"/>
    <w:rsid w:val="00BA44F0"/>
    <w:rsid w:val="00BA5D81"/>
    <w:rsid w:val="00BA6300"/>
    <w:rsid w:val="00BA7214"/>
    <w:rsid w:val="00BA7623"/>
    <w:rsid w:val="00BB3BEC"/>
    <w:rsid w:val="00BB43D3"/>
    <w:rsid w:val="00BB59B9"/>
    <w:rsid w:val="00BB5C6B"/>
    <w:rsid w:val="00BB70DB"/>
    <w:rsid w:val="00BC0DCE"/>
    <w:rsid w:val="00BC127C"/>
    <w:rsid w:val="00BC1A48"/>
    <w:rsid w:val="00BC1C18"/>
    <w:rsid w:val="00BC2331"/>
    <w:rsid w:val="00BC2D2F"/>
    <w:rsid w:val="00BC5D84"/>
    <w:rsid w:val="00BC6311"/>
    <w:rsid w:val="00BC6606"/>
    <w:rsid w:val="00BC6A06"/>
    <w:rsid w:val="00BC6E5D"/>
    <w:rsid w:val="00BC7C1B"/>
    <w:rsid w:val="00BD190D"/>
    <w:rsid w:val="00BD272C"/>
    <w:rsid w:val="00BD2E5D"/>
    <w:rsid w:val="00BD3EA2"/>
    <w:rsid w:val="00BD4EB4"/>
    <w:rsid w:val="00BD59F7"/>
    <w:rsid w:val="00BD5DE6"/>
    <w:rsid w:val="00BD6C2C"/>
    <w:rsid w:val="00BE4825"/>
    <w:rsid w:val="00BE522E"/>
    <w:rsid w:val="00BE635C"/>
    <w:rsid w:val="00BE74C7"/>
    <w:rsid w:val="00BE7580"/>
    <w:rsid w:val="00BF08D3"/>
    <w:rsid w:val="00BF0EF2"/>
    <w:rsid w:val="00BF11A0"/>
    <w:rsid w:val="00BF3E01"/>
    <w:rsid w:val="00BF53D5"/>
    <w:rsid w:val="00BF68C8"/>
    <w:rsid w:val="00BF7E8B"/>
    <w:rsid w:val="00C000D0"/>
    <w:rsid w:val="00C00635"/>
    <w:rsid w:val="00C016A3"/>
    <w:rsid w:val="00C01E68"/>
    <w:rsid w:val="00C03EEC"/>
    <w:rsid w:val="00C05379"/>
    <w:rsid w:val="00C053A5"/>
    <w:rsid w:val="00C0736A"/>
    <w:rsid w:val="00C10987"/>
    <w:rsid w:val="00C11924"/>
    <w:rsid w:val="00C13111"/>
    <w:rsid w:val="00C133DA"/>
    <w:rsid w:val="00C14016"/>
    <w:rsid w:val="00C14894"/>
    <w:rsid w:val="00C1491D"/>
    <w:rsid w:val="00C14EF2"/>
    <w:rsid w:val="00C17935"/>
    <w:rsid w:val="00C17B40"/>
    <w:rsid w:val="00C20480"/>
    <w:rsid w:val="00C2089D"/>
    <w:rsid w:val="00C21CE9"/>
    <w:rsid w:val="00C221A0"/>
    <w:rsid w:val="00C238D1"/>
    <w:rsid w:val="00C239C4"/>
    <w:rsid w:val="00C25C46"/>
    <w:rsid w:val="00C2791D"/>
    <w:rsid w:val="00C31E23"/>
    <w:rsid w:val="00C326F9"/>
    <w:rsid w:val="00C32B32"/>
    <w:rsid w:val="00C3530A"/>
    <w:rsid w:val="00C35DED"/>
    <w:rsid w:val="00C36EB2"/>
    <w:rsid w:val="00C36FFC"/>
    <w:rsid w:val="00C37A29"/>
    <w:rsid w:val="00C41CFB"/>
    <w:rsid w:val="00C43C93"/>
    <w:rsid w:val="00C501D0"/>
    <w:rsid w:val="00C56A25"/>
    <w:rsid w:val="00C57155"/>
    <w:rsid w:val="00C57D2D"/>
    <w:rsid w:val="00C60590"/>
    <w:rsid w:val="00C62273"/>
    <w:rsid w:val="00C62B0F"/>
    <w:rsid w:val="00C639AF"/>
    <w:rsid w:val="00C6784C"/>
    <w:rsid w:val="00C70569"/>
    <w:rsid w:val="00C70D80"/>
    <w:rsid w:val="00C70EFC"/>
    <w:rsid w:val="00C71688"/>
    <w:rsid w:val="00C72BE0"/>
    <w:rsid w:val="00C72CBB"/>
    <w:rsid w:val="00C7368F"/>
    <w:rsid w:val="00C74529"/>
    <w:rsid w:val="00C749FB"/>
    <w:rsid w:val="00C75C56"/>
    <w:rsid w:val="00C77884"/>
    <w:rsid w:val="00C818FE"/>
    <w:rsid w:val="00C90740"/>
    <w:rsid w:val="00C932F3"/>
    <w:rsid w:val="00C9361E"/>
    <w:rsid w:val="00C93B7A"/>
    <w:rsid w:val="00C96D90"/>
    <w:rsid w:val="00C97232"/>
    <w:rsid w:val="00C976FE"/>
    <w:rsid w:val="00CA0546"/>
    <w:rsid w:val="00CA06D3"/>
    <w:rsid w:val="00CA0AFF"/>
    <w:rsid w:val="00CA0B3F"/>
    <w:rsid w:val="00CA1B27"/>
    <w:rsid w:val="00CA3042"/>
    <w:rsid w:val="00CA532D"/>
    <w:rsid w:val="00CB276D"/>
    <w:rsid w:val="00CB36A6"/>
    <w:rsid w:val="00CB3D36"/>
    <w:rsid w:val="00CB46AE"/>
    <w:rsid w:val="00CB7A87"/>
    <w:rsid w:val="00CC0367"/>
    <w:rsid w:val="00CC1197"/>
    <w:rsid w:val="00CC3DE4"/>
    <w:rsid w:val="00CC459B"/>
    <w:rsid w:val="00CC467C"/>
    <w:rsid w:val="00CC5F5B"/>
    <w:rsid w:val="00CC7BFF"/>
    <w:rsid w:val="00CD0ECA"/>
    <w:rsid w:val="00CD11E2"/>
    <w:rsid w:val="00CD11FC"/>
    <w:rsid w:val="00CD172F"/>
    <w:rsid w:val="00CD2EA6"/>
    <w:rsid w:val="00CD3967"/>
    <w:rsid w:val="00CD5610"/>
    <w:rsid w:val="00CD61EB"/>
    <w:rsid w:val="00CD63A6"/>
    <w:rsid w:val="00CD6E34"/>
    <w:rsid w:val="00CD70A9"/>
    <w:rsid w:val="00CD7F44"/>
    <w:rsid w:val="00CE1F94"/>
    <w:rsid w:val="00CE43AF"/>
    <w:rsid w:val="00CE4D3A"/>
    <w:rsid w:val="00CE596B"/>
    <w:rsid w:val="00CE64FD"/>
    <w:rsid w:val="00CE6A30"/>
    <w:rsid w:val="00CE7236"/>
    <w:rsid w:val="00CF02F0"/>
    <w:rsid w:val="00CF24F5"/>
    <w:rsid w:val="00CF4BC6"/>
    <w:rsid w:val="00CF7F06"/>
    <w:rsid w:val="00D01615"/>
    <w:rsid w:val="00D02433"/>
    <w:rsid w:val="00D02FEC"/>
    <w:rsid w:val="00D0352E"/>
    <w:rsid w:val="00D04A8C"/>
    <w:rsid w:val="00D05D78"/>
    <w:rsid w:val="00D07889"/>
    <w:rsid w:val="00D10F14"/>
    <w:rsid w:val="00D1350F"/>
    <w:rsid w:val="00D142E9"/>
    <w:rsid w:val="00D15113"/>
    <w:rsid w:val="00D15B7C"/>
    <w:rsid w:val="00D15B7D"/>
    <w:rsid w:val="00D1617E"/>
    <w:rsid w:val="00D169A4"/>
    <w:rsid w:val="00D16F74"/>
    <w:rsid w:val="00D1714E"/>
    <w:rsid w:val="00D20900"/>
    <w:rsid w:val="00D276D7"/>
    <w:rsid w:val="00D302E4"/>
    <w:rsid w:val="00D30791"/>
    <w:rsid w:val="00D31010"/>
    <w:rsid w:val="00D31E3E"/>
    <w:rsid w:val="00D325B0"/>
    <w:rsid w:val="00D3282D"/>
    <w:rsid w:val="00D32976"/>
    <w:rsid w:val="00D330CA"/>
    <w:rsid w:val="00D3316D"/>
    <w:rsid w:val="00D33CCB"/>
    <w:rsid w:val="00D34E4A"/>
    <w:rsid w:val="00D36294"/>
    <w:rsid w:val="00D37882"/>
    <w:rsid w:val="00D4008B"/>
    <w:rsid w:val="00D42788"/>
    <w:rsid w:val="00D4407B"/>
    <w:rsid w:val="00D44E86"/>
    <w:rsid w:val="00D450AF"/>
    <w:rsid w:val="00D46FD9"/>
    <w:rsid w:val="00D5053F"/>
    <w:rsid w:val="00D50552"/>
    <w:rsid w:val="00D5087C"/>
    <w:rsid w:val="00D50F27"/>
    <w:rsid w:val="00D53613"/>
    <w:rsid w:val="00D543D2"/>
    <w:rsid w:val="00D558EC"/>
    <w:rsid w:val="00D5594C"/>
    <w:rsid w:val="00D56FD8"/>
    <w:rsid w:val="00D60649"/>
    <w:rsid w:val="00D61E88"/>
    <w:rsid w:val="00D6288A"/>
    <w:rsid w:val="00D62C71"/>
    <w:rsid w:val="00D63281"/>
    <w:rsid w:val="00D65A57"/>
    <w:rsid w:val="00D65E70"/>
    <w:rsid w:val="00D70A9C"/>
    <w:rsid w:val="00D72898"/>
    <w:rsid w:val="00D7375E"/>
    <w:rsid w:val="00D74866"/>
    <w:rsid w:val="00D8092B"/>
    <w:rsid w:val="00D838E1"/>
    <w:rsid w:val="00D83923"/>
    <w:rsid w:val="00D84CCF"/>
    <w:rsid w:val="00D85051"/>
    <w:rsid w:val="00D85E17"/>
    <w:rsid w:val="00D85EEA"/>
    <w:rsid w:val="00D8709F"/>
    <w:rsid w:val="00D87BC6"/>
    <w:rsid w:val="00D9419D"/>
    <w:rsid w:val="00D96F65"/>
    <w:rsid w:val="00D97538"/>
    <w:rsid w:val="00D97541"/>
    <w:rsid w:val="00D979DA"/>
    <w:rsid w:val="00DA136C"/>
    <w:rsid w:val="00DA143D"/>
    <w:rsid w:val="00DA3017"/>
    <w:rsid w:val="00DA494C"/>
    <w:rsid w:val="00DA4EFD"/>
    <w:rsid w:val="00DA5484"/>
    <w:rsid w:val="00DA6E48"/>
    <w:rsid w:val="00DB04FC"/>
    <w:rsid w:val="00DB0937"/>
    <w:rsid w:val="00DB608A"/>
    <w:rsid w:val="00DB6698"/>
    <w:rsid w:val="00DB6F2D"/>
    <w:rsid w:val="00DB7E8D"/>
    <w:rsid w:val="00DC08DC"/>
    <w:rsid w:val="00DC1012"/>
    <w:rsid w:val="00DC18D8"/>
    <w:rsid w:val="00DC1B37"/>
    <w:rsid w:val="00DC54F0"/>
    <w:rsid w:val="00DC5DFF"/>
    <w:rsid w:val="00DC62B6"/>
    <w:rsid w:val="00DC641E"/>
    <w:rsid w:val="00DC74CB"/>
    <w:rsid w:val="00DD08C9"/>
    <w:rsid w:val="00DD134A"/>
    <w:rsid w:val="00DD152A"/>
    <w:rsid w:val="00DD5435"/>
    <w:rsid w:val="00DD6473"/>
    <w:rsid w:val="00DD6CB7"/>
    <w:rsid w:val="00DD7F8A"/>
    <w:rsid w:val="00DE08B3"/>
    <w:rsid w:val="00DE2F72"/>
    <w:rsid w:val="00DE3D44"/>
    <w:rsid w:val="00DE4A3C"/>
    <w:rsid w:val="00DE68E1"/>
    <w:rsid w:val="00DF2485"/>
    <w:rsid w:val="00DF2AEB"/>
    <w:rsid w:val="00DF3F2A"/>
    <w:rsid w:val="00DF4E3E"/>
    <w:rsid w:val="00DF57D9"/>
    <w:rsid w:val="00DF5927"/>
    <w:rsid w:val="00DF60B9"/>
    <w:rsid w:val="00DF63B7"/>
    <w:rsid w:val="00DF76DB"/>
    <w:rsid w:val="00E0080D"/>
    <w:rsid w:val="00E010CD"/>
    <w:rsid w:val="00E030AB"/>
    <w:rsid w:val="00E0453D"/>
    <w:rsid w:val="00E04EA6"/>
    <w:rsid w:val="00E05FA6"/>
    <w:rsid w:val="00E061AA"/>
    <w:rsid w:val="00E0711C"/>
    <w:rsid w:val="00E10540"/>
    <w:rsid w:val="00E10620"/>
    <w:rsid w:val="00E10FDB"/>
    <w:rsid w:val="00E149C2"/>
    <w:rsid w:val="00E157FA"/>
    <w:rsid w:val="00E15A2F"/>
    <w:rsid w:val="00E16CA8"/>
    <w:rsid w:val="00E172B7"/>
    <w:rsid w:val="00E226D9"/>
    <w:rsid w:val="00E22F2C"/>
    <w:rsid w:val="00E25474"/>
    <w:rsid w:val="00E26D19"/>
    <w:rsid w:val="00E26F98"/>
    <w:rsid w:val="00E30B2A"/>
    <w:rsid w:val="00E326A9"/>
    <w:rsid w:val="00E32EE5"/>
    <w:rsid w:val="00E32F93"/>
    <w:rsid w:val="00E33851"/>
    <w:rsid w:val="00E34B46"/>
    <w:rsid w:val="00E3660C"/>
    <w:rsid w:val="00E37641"/>
    <w:rsid w:val="00E379F7"/>
    <w:rsid w:val="00E41052"/>
    <w:rsid w:val="00E41ACB"/>
    <w:rsid w:val="00E43A66"/>
    <w:rsid w:val="00E457E5"/>
    <w:rsid w:val="00E45E9D"/>
    <w:rsid w:val="00E4645C"/>
    <w:rsid w:val="00E465F8"/>
    <w:rsid w:val="00E46AFF"/>
    <w:rsid w:val="00E47107"/>
    <w:rsid w:val="00E477C4"/>
    <w:rsid w:val="00E47C67"/>
    <w:rsid w:val="00E51071"/>
    <w:rsid w:val="00E5159F"/>
    <w:rsid w:val="00E515B6"/>
    <w:rsid w:val="00E542A8"/>
    <w:rsid w:val="00E54ACD"/>
    <w:rsid w:val="00E54B2B"/>
    <w:rsid w:val="00E56485"/>
    <w:rsid w:val="00E56CAA"/>
    <w:rsid w:val="00E56DB3"/>
    <w:rsid w:val="00E57E44"/>
    <w:rsid w:val="00E57F13"/>
    <w:rsid w:val="00E60484"/>
    <w:rsid w:val="00E60C08"/>
    <w:rsid w:val="00E61632"/>
    <w:rsid w:val="00E6267D"/>
    <w:rsid w:val="00E63E17"/>
    <w:rsid w:val="00E701B5"/>
    <w:rsid w:val="00E70DD7"/>
    <w:rsid w:val="00E717CE"/>
    <w:rsid w:val="00E729E6"/>
    <w:rsid w:val="00E72EE0"/>
    <w:rsid w:val="00E72FB9"/>
    <w:rsid w:val="00E73202"/>
    <w:rsid w:val="00E73FFC"/>
    <w:rsid w:val="00E741FB"/>
    <w:rsid w:val="00E77579"/>
    <w:rsid w:val="00E83425"/>
    <w:rsid w:val="00E839A5"/>
    <w:rsid w:val="00E84060"/>
    <w:rsid w:val="00E84D55"/>
    <w:rsid w:val="00E866B0"/>
    <w:rsid w:val="00E91A7E"/>
    <w:rsid w:val="00E91FED"/>
    <w:rsid w:val="00E933CD"/>
    <w:rsid w:val="00E93EBC"/>
    <w:rsid w:val="00EA1943"/>
    <w:rsid w:val="00EA1FAF"/>
    <w:rsid w:val="00EA3D2C"/>
    <w:rsid w:val="00EA59DF"/>
    <w:rsid w:val="00EA721A"/>
    <w:rsid w:val="00EA748F"/>
    <w:rsid w:val="00EB042A"/>
    <w:rsid w:val="00EB10D3"/>
    <w:rsid w:val="00EB26AE"/>
    <w:rsid w:val="00EB2E48"/>
    <w:rsid w:val="00EB3F9D"/>
    <w:rsid w:val="00EB5DC6"/>
    <w:rsid w:val="00EB6195"/>
    <w:rsid w:val="00EB73C5"/>
    <w:rsid w:val="00EB7A3E"/>
    <w:rsid w:val="00EB7AA0"/>
    <w:rsid w:val="00EC0254"/>
    <w:rsid w:val="00EC035A"/>
    <w:rsid w:val="00EC6E6A"/>
    <w:rsid w:val="00ED0756"/>
    <w:rsid w:val="00ED0A98"/>
    <w:rsid w:val="00ED299E"/>
    <w:rsid w:val="00ED470C"/>
    <w:rsid w:val="00ED4983"/>
    <w:rsid w:val="00ED4984"/>
    <w:rsid w:val="00ED4C26"/>
    <w:rsid w:val="00ED6F25"/>
    <w:rsid w:val="00ED75C2"/>
    <w:rsid w:val="00ED76E5"/>
    <w:rsid w:val="00ED7801"/>
    <w:rsid w:val="00EE02B0"/>
    <w:rsid w:val="00EE0864"/>
    <w:rsid w:val="00EE1347"/>
    <w:rsid w:val="00EE13DB"/>
    <w:rsid w:val="00EE212E"/>
    <w:rsid w:val="00EE261E"/>
    <w:rsid w:val="00EE32C1"/>
    <w:rsid w:val="00EE6904"/>
    <w:rsid w:val="00EE6C35"/>
    <w:rsid w:val="00EE6F14"/>
    <w:rsid w:val="00EF13AB"/>
    <w:rsid w:val="00EF3F23"/>
    <w:rsid w:val="00EF40C3"/>
    <w:rsid w:val="00EF528B"/>
    <w:rsid w:val="00EF52BA"/>
    <w:rsid w:val="00EF563B"/>
    <w:rsid w:val="00EF5929"/>
    <w:rsid w:val="00F00CA1"/>
    <w:rsid w:val="00F00DCB"/>
    <w:rsid w:val="00F016BD"/>
    <w:rsid w:val="00F02641"/>
    <w:rsid w:val="00F03B49"/>
    <w:rsid w:val="00F04EA7"/>
    <w:rsid w:val="00F05078"/>
    <w:rsid w:val="00F06CFD"/>
    <w:rsid w:val="00F103E0"/>
    <w:rsid w:val="00F1040F"/>
    <w:rsid w:val="00F1041E"/>
    <w:rsid w:val="00F10F16"/>
    <w:rsid w:val="00F1118B"/>
    <w:rsid w:val="00F12889"/>
    <w:rsid w:val="00F13EC0"/>
    <w:rsid w:val="00F162D4"/>
    <w:rsid w:val="00F165EB"/>
    <w:rsid w:val="00F174DB"/>
    <w:rsid w:val="00F17B50"/>
    <w:rsid w:val="00F2058B"/>
    <w:rsid w:val="00F20DF2"/>
    <w:rsid w:val="00F21A29"/>
    <w:rsid w:val="00F2346E"/>
    <w:rsid w:val="00F24439"/>
    <w:rsid w:val="00F25AE6"/>
    <w:rsid w:val="00F31A02"/>
    <w:rsid w:val="00F3209B"/>
    <w:rsid w:val="00F3214C"/>
    <w:rsid w:val="00F3239A"/>
    <w:rsid w:val="00F32548"/>
    <w:rsid w:val="00F33E66"/>
    <w:rsid w:val="00F33F8D"/>
    <w:rsid w:val="00F34C4A"/>
    <w:rsid w:val="00F367D2"/>
    <w:rsid w:val="00F368DA"/>
    <w:rsid w:val="00F36E56"/>
    <w:rsid w:val="00F37CB6"/>
    <w:rsid w:val="00F37F65"/>
    <w:rsid w:val="00F4010B"/>
    <w:rsid w:val="00F44EF3"/>
    <w:rsid w:val="00F45B06"/>
    <w:rsid w:val="00F46E42"/>
    <w:rsid w:val="00F4702C"/>
    <w:rsid w:val="00F4774C"/>
    <w:rsid w:val="00F505B8"/>
    <w:rsid w:val="00F51F1E"/>
    <w:rsid w:val="00F53650"/>
    <w:rsid w:val="00F536EC"/>
    <w:rsid w:val="00F5376E"/>
    <w:rsid w:val="00F53BE5"/>
    <w:rsid w:val="00F53EFE"/>
    <w:rsid w:val="00F5671E"/>
    <w:rsid w:val="00F57235"/>
    <w:rsid w:val="00F57F75"/>
    <w:rsid w:val="00F60BA2"/>
    <w:rsid w:val="00F619A4"/>
    <w:rsid w:val="00F621FF"/>
    <w:rsid w:val="00F622F1"/>
    <w:rsid w:val="00F631C5"/>
    <w:rsid w:val="00F634F6"/>
    <w:rsid w:val="00F63B74"/>
    <w:rsid w:val="00F64148"/>
    <w:rsid w:val="00F6754D"/>
    <w:rsid w:val="00F67A3C"/>
    <w:rsid w:val="00F702CF"/>
    <w:rsid w:val="00F71E1B"/>
    <w:rsid w:val="00F72F18"/>
    <w:rsid w:val="00F736F7"/>
    <w:rsid w:val="00F746C2"/>
    <w:rsid w:val="00F77B4D"/>
    <w:rsid w:val="00F77C74"/>
    <w:rsid w:val="00F833FD"/>
    <w:rsid w:val="00F834B1"/>
    <w:rsid w:val="00F86BDF"/>
    <w:rsid w:val="00F87B07"/>
    <w:rsid w:val="00F911BB"/>
    <w:rsid w:val="00F915B8"/>
    <w:rsid w:val="00F93463"/>
    <w:rsid w:val="00F94880"/>
    <w:rsid w:val="00F95DB2"/>
    <w:rsid w:val="00F970CD"/>
    <w:rsid w:val="00F9713F"/>
    <w:rsid w:val="00FA04B1"/>
    <w:rsid w:val="00FA24CC"/>
    <w:rsid w:val="00FA33D2"/>
    <w:rsid w:val="00FB016C"/>
    <w:rsid w:val="00FB1322"/>
    <w:rsid w:val="00FB15BC"/>
    <w:rsid w:val="00FB2FC9"/>
    <w:rsid w:val="00FB3A74"/>
    <w:rsid w:val="00FB4E93"/>
    <w:rsid w:val="00FB6016"/>
    <w:rsid w:val="00FB66B9"/>
    <w:rsid w:val="00FB6938"/>
    <w:rsid w:val="00FC2D8B"/>
    <w:rsid w:val="00FC39D0"/>
    <w:rsid w:val="00FC4383"/>
    <w:rsid w:val="00FC4527"/>
    <w:rsid w:val="00FC5C23"/>
    <w:rsid w:val="00FC6CED"/>
    <w:rsid w:val="00FD1805"/>
    <w:rsid w:val="00FD27CC"/>
    <w:rsid w:val="00FD3306"/>
    <w:rsid w:val="00FD36B1"/>
    <w:rsid w:val="00FD3A6D"/>
    <w:rsid w:val="00FD3F56"/>
    <w:rsid w:val="00FD4A17"/>
    <w:rsid w:val="00FD5F93"/>
    <w:rsid w:val="00FE00EE"/>
    <w:rsid w:val="00FE1A44"/>
    <w:rsid w:val="00FE2FD9"/>
    <w:rsid w:val="00FE4EAB"/>
    <w:rsid w:val="00FE59FD"/>
    <w:rsid w:val="00FE5C7A"/>
    <w:rsid w:val="00FE6A8B"/>
    <w:rsid w:val="00FE6CEC"/>
    <w:rsid w:val="00FE6E4F"/>
    <w:rsid w:val="00FE7F98"/>
    <w:rsid w:val="00FF0172"/>
    <w:rsid w:val="00FF058E"/>
    <w:rsid w:val="00FF0E6E"/>
    <w:rsid w:val="00FF1C4E"/>
    <w:rsid w:val="00FF2E7F"/>
    <w:rsid w:val="00FF306D"/>
    <w:rsid w:val="00FF4344"/>
    <w:rsid w:val="00FF5B85"/>
    <w:rsid w:val="00FF796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6C07F"/>
  <w15:chartTrackingRefBased/>
  <w15:docId w15:val="{8A009D1F-B97E-4019-B33B-3E4A92B5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02FEC"/>
    <w:pPr>
      <w:spacing w:before="120" w:after="120" w:line="280" w:lineRule="atLeast"/>
    </w:pPr>
    <w:rPr>
      <w:sz w:val="20"/>
      <w:szCs w:val="20"/>
    </w:rPr>
  </w:style>
  <w:style w:type="paragraph" w:styleId="Heading1">
    <w:name w:val="heading 1"/>
    <w:basedOn w:val="Normal"/>
    <w:next w:val="BodyText"/>
    <w:link w:val="Heading1Char"/>
    <w:uiPriority w:val="9"/>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uiPriority w:val="1"/>
    <w:qFormat/>
    <w:rsid w:val="00D02FEC"/>
    <w:pPr>
      <w:numPr>
        <w:numId w:val="15"/>
      </w:numPr>
      <w:contextualSpacing/>
    </w:pPr>
  </w:style>
  <w:style w:type="paragraph" w:styleId="ListBullet2">
    <w:name w:val="List Bullet 2"/>
    <w:basedOn w:val="Normal"/>
    <w:uiPriority w:val="99"/>
    <w:qFormat/>
    <w:rsid w:val="00D02FEC"/>
    <w:pPr>
      <w:numPr>
        <w:ilvl w:val="1"/>
        <w:numId w:val="15"/>
      </w:numPr>
      <w:contextualSpacing/>
    </w:pPr>
  </w:style>
  <w:style w:type="paragraph" w:styleId="ListNumber">
    <w:name w:val="List Number"/>
    <w:basedOn w:val="Normal"/>
    <w:uiPriority w:val="2"/>
    <w:qFormat/>
    <w:rsid w:val="00D02FEC"/>
    <w:pPr>
      <w:numPr>
        <w:numId w:val="14"/>
      </w:numPr>
      <w:spacing w:before="60"/>
      <w:contextualSpacing/>
    </w:pPr>
  </w:style>
  <w:style w:type="numbering" w:customStyle="1" w:styleId="Bullets">
    <w:name w:val="Bullets"/>
    <w:uiPriority w:val="99"/>
    <w:rsid w:val="00D02FEC"/>
    <w:pPr>
      <w:numPr>
        <w:numId w:val="5"/>
      </w:numPr>
    </w:pPr>
  </w:style>
  <w:style w:type="character" w:customStyle="1" w:styleId="Heading1Char">
    <w:name w:val="Heading 1 Char"/>
    <w:basedOn w:val="DefaultParagraphFont"/>
    <w:link w:val="Heading1"/>
    <w:uiPriority w:val="9"/>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02FEC"/>
    <w:pPr>
      <w:numPr>
        <w:ilvl w:val="1"/>
        <w:numId w:val="14"/>
      </w:numPr>
      <w:spacing w:before="60"/>
      <w:contextualSpacing/>
    </w:pPr>
  </w:style>
  <w:style w:type="character" w:customStyle="1" w:styleId="Heading2Char">
    <w:name w:val="Heading 2 Char"/>
    <w:basedOn w:val="DefaultParagraphFont"/>
    <w:link w:val="Heading2"/>
    <w:uiPriority w:val="9"/>
    <w:rsid w:val="00D02FEC"/>
    <w:rPr>
      <w:rFonts w:asciiTheme="majorHAnsi" w:eastAsiaTheme="majorEastAsia" w:hAnsiTheme="majorHAnsi" w:cstheme="majorBidi"/>
      <w:sz w:val="30"/>
      <w:szCs w:val="60"/>
    </w:rPr>
  </w:style>
  <w:style w:type="paragraph" w:styleId="ListParagraph">
    <w:name w:val="List Paragraph"/>
    <w:basedOn w:val="Normal"/>
    <w:uiPriority w:val="34"/>
    <w:qFormat/>
    <w:rsid w:val="00D02FEC"/>
    <w:pPr>
      <w:spacing w:line="293" w:lineRule="auto"/>
      <w:ind w:left="284"/>
      <w:contextualSpacing/>
    </w:pPr>
  </w:style>
  <w:style w:type="paragraph" w:styleId="Header">
    <w:name w:val="header"/>
    <w:basedOn w:val="Normal"/>
    <w:link w:val="HeaderChar"/>
    <w:uiPriority w:val="99"/>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02FEC"/>
    <w:rPr>
      <w:sz w:val="16"/>
      <w:szCs w:val="20"/>
    </w:rPr>
  </w:style>
  <w:style w:type="paragraph" w:styleId="Footer">
    <w:name w:val="footer"/>
    <w:basedOn w:val="Normal"/>
    <w:link w:val="FooterChar"/>
    <w:uiPriority w:val="11"/>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02FEC"/>
    <w:rPr>
      <w:rFonts w:asciiTheme="majorHAnsi" w:hAnsiTheme="majorHAnsi"/>
      <w:sz w:val="17"/>
    </w:rPr>
  </w:style>
  <w:style w:type="numbering" w:customStyle="1" w:styleId="Numbering">
    <w:name w:val="Numbering"/>
    <w:uiPriority w:val="99"/>
    <w:rsid w:val="00D02FEC"/>
    <w:pPr>
      <w:numPr>
        <w:numId w:val="14"/>
      </w:numPr>
    </w:pPr>
  </w:style>
  <w:style w:type="paragraph" w:styleId="ListBullet3">
    <w:name w:val="List Bullet 3"/>
    <w:basedOn w:val="Normal"/>
    <w:uiPriority w:val="1"/>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uiPriority w:val="13"/>
    <w:semiHidden/>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uiPriority w:val="9"/>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uiPriority w:val="39"/>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uiPriority w:val="39"/>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uiPriority w:val="9"/>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uiPriority w:val="9"/>
    <w:semiHidden/>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02FEC"/>
    <w:pPr>
      <w:spacing w:before="60" w:after="60" w:line="293" w:lineRule="auto"/>
      <w:contextualSpacing/>
    </w:pPr>
    <w:rPr>
      <w:sz w:val="18"/>
    </w:rPr>
  </w:style>
  <w:style w:type="paragraph" w:styleId="TOC1">
    <w:name w:val="toc 1"/>
    <w:basedOn w:val="Normal"/>
    <w:next w:val="BodyText"/>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02FEC"/>
    <w:rPr>
      <w:sz w:val="18"/>
      <w:szCs w:val="20"/>
    </w:rPr>
  </w:style>
  <w:style w:type="character" w:styleId="FootnoteReference">
    <w:name w:val="footnote reference"/>
    <w:basedOn w:val="DefaultParagraphFont"/>
    <w:uiPriority w:val="99"/>
    <w:semiHidden/>
    <w:unhideWhenUsed/>
    <w:rsid w:val="00D02FEC"/>
    <w:rPr>
      <w:vertAlign w:val="superscript"/>
    </w:rPr>
  </w:style>
  <w:style w:type="character" w:styleId="Hyperlink">
    <w:name w:val="Hyperlink"/>
    <w:basedOn w:val="DefaultParagraphFont"/>
    <w:uiPriority w:val="99"/>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semiHidden/>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uiPriority w:val="4"/>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iPriority w:val="99"/>
    <w:semiHidden/>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FEC"/>
    <w:rPr>
      <w:rFonts w:ascii="Segoe UI" w:hAnsi="Segoe UI" w:cs="Segoe UI"/>
      <w:sz w:val="18"/>
      <w:szCs w:val="18"/>
    </w:rPr>
  </w:style>
  <w:style w:type="character" w:styleId="CommentReference">
    <w:name w:val="annotation reference"/>
    <w:basedOn w:val="DefaultParagraphFont"/>
    <w:uiPriority w:val="99"/>
    <w:semiHidden/>
    <w:unhideWhenUsed/>
    <w:rsid w:val="00D02FEC"/>
    <w:rPr>
      <w:sz w:val="16"/>
      <w:szCs w:val="16"/>
    </w:rPr>
  </w:style>
  <w:style w:type="paragraph" w:styleId="CommentText">
    <w:name w:val="annotation text"/>
    <w:basedOn w:val="Normal"/>
    <w:link w:val="CommentTextChar"/>
    <w:uiPriority w:val="99"/>
    <w:unhideWhenUsed/>
    <w:rsid w:val="00D02FEC"/>
    <w:pPr>
      <w:spacing w:line="240" w:lineRule="auto"/>
    </w:pPr>
  </w:style>
  <w:style w:type="character" w:customStyle="1" w:styleId="CommentTextChar">
    <w:name w:val="Comment Text Char"/>
    <w:basedOn w:val="DefaultParagraphFont"/>
    <w:link w:val="CommentText"/>
    <w:uiPriority w:val="99"/>
    <w:rsid w:val="00D02FEC"/>
    <w:rPr>
      <w:sz w:val="20"/>
      <w:szCs w:val="20"/>
    </w:rPr>
  </w:style>
  <w:style w:type="paragraph" w:styleId="CommentSubject">
    <w:name w:val="annotation subject"/>
    <w:basedOn w:val="CommentText"/>
    <w:next w:val="CommentText"/>
    <w:link w:val="CommentSubjectChar"/>
    <w:uiPriority w:val="99"/>
    <w:semiHidden/>
    <w:unhideWhenUsed/>
    <w:rsid w:val="00D02FEC"/>
    <w:rPr>
      <w:b/>
      <w:bCs/>
    </w:rPr>
  </w:style>
  <w:style w:type="character" w:customStyle="1" w:styleId="CommentSubjectChar">
    <w:name w:val="Comment Subject Char"/>
    <w:basedOn w:val="CommentTextChar"/>
    <w:link w:val="CommentSubject"/>
    <w:uiPriority w:val="99"/>
    <w:semiHidden/>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uiPriority w:val="4"/>
    <w:qFormat/>
    <w:rsid w:val="00D02FEC"/>
    <w:pPr>
      <w:spacing w:after="0"/>
    </w:pPr>
  </w:style>
  <w:style w:type="character" w:styleId="Emphasis">
    <w:name w:val="Emphasis"/>
    <w:basedOn w:val="DefaultParagraphFont"/>
    <w:uiPriority w:val="22"/>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uiPriority w:val="1"/>
    <w:rsid w:val="00D02FEC"/>
    <w:pPr>
      <w:spacing w:before="0" w:after="0"/>
    </w:pPr>
  </w:style>
  <w:style w:type="paragraph" w:customStyle="1" w:styleId="QuoteBullet">
    <w:name w:val="Quote Bullet"/>
    <w:basedOn w:val="ListBullet"/>
    <w:link w:val="QuoteBulletChar"/>
    <w:uiPriority w:val="1"/>
    <w:qFormat/>
    <w:rsid w:val="00D02FEC"/>
    <w:pPr>
      <w:spacing w:before="60"/>
      <w:ind w:left="340" w:right="851"/>
    </w:pPr>
    <w:rPr>
      <w:color w:val="58585B"/>
    </w:rPr>
  </w:style>
  <w:style w:type="character" w:customStyle="1" w:styleId="ListBulletChar">
    <w:name w:val="List Bullet Char"/>
    <w:basedOn w:val="DefaultParagraphFont"/>
    <w:link w:val="ListBullet"/>
    <w:uiPriority w:val="1"/>
    <w:rsid w:val="00D02FEC"/>
    <w:rPr>
      <w:sz w:val="20"/>
      <w:szCs w:val="20"/>
    </w:rPr>
  </w:style>
  <w:style w:type="character" w:customStyle="1" w:styleId="QuoteBulletChar">
    <w:name w:val="Quote Bullet Char"/>
    <w:basedOn w:val="ListBulletChar"/>
    <w:link w:val="QuoteBullet"/>
    <w:uiPriority w:val="1"/>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069760">
      <w:bodyDiv w:val="1"/>
      <w:marLeft w:val="0"/>
      <w:marRight w:val="0"/>
      <w:marTop w:val="0"/>
      <w:marBottom w:val="0"/>
      <w:divBdr>
        <w:top w:val="none" w:sz="0" w:space="0" w:color="auto"/>
        <w:left w:val="none" w:sz="0" w:space="0" w:color="auto"/>
        <w:bottom w:val="none" w:sz="0" w:space="0" w:color="auto"/>
        <w:right w:val="none" w:sz="0" w:space="0" w:color="auto"/>
      </w:divBdr>
      <w:divsChild>
        <w:div w:id="133525687">
          <w:marLeft w:val="0"/>
          <w:marRight w:val="0"/>
          <w:marTop w:val="0"/>
          <w:marBottom w:val="0"/>
          <w:divBdr>
            <w:top w:val="none" w:sz="0" w:space="0" w:color="auto"/>
            <w:left w:val="none" w:sz="0" w:space="0" w:color="auto"/>
            <w:bottom w:val="none" w:sz="0" w:space="0" w:color="auto"/>
            <w:right w:val="none" w:sz="0" w:space="0" w:color="auto"/>
          </w:divBdr>
          <w:divsChild>
            <w:div w:id="167260459">
              <w:marLeft w:val="0"/>
              <w:marRight w:val="0"/>
              <w:marTop w:val="0"/>
              <w:marBottom w:val="0"/>
              <w:divBdr>
                <w:top w:val="none" w:sz="0" w:space="0" w:color="auto"/>
                <w:left w:val="none" w:sz="0" w:space="0" w:color="auto"/>
                <w:bottom w:val="none" w:sz="0" w:space="0" w:color="auto"/>
                <w:right w:val="none" w:sz="0" w:space="0" w:color="auto"/>
              </w:divBdr>
            </w:div>
            <w:div w:id="189491374">
              <w:marLeft w:val="0"/>
              <w:marRight w:val="0"/>
              <w:marTop w:val="0"/>
              <w:marBottom w:val="0"/>
              <w:divBdr>
                <w:top w:val="none" w:sz="0" w:space="0" w:color="auto"/>
                <w:left w:val="none" w:sz="0" w:space="0" w:color="auto"/>
                <w:bottom w:val="none" w:sz="0" w:space="0" w:color="auto"/>
                <w:right w:val="none" w:sz="0" w:space="0" w:color="auto"/>
              </w:divBdr>
            </w:div>
            <w:div w:id="341393583">
              <w:marLeft w:val="0"/>
              <w:marRight w:val="0"/>
              <w:marTop w:val="0"/>
              <w:marBottom w:val="0"/>
              <w:divBdr>
                <w:top w:val="none" w:sz="0" w:space="0" w:color="auto"/>
                <w:left w:val="none" w:sz="0" w:space="0" w:color="auto"/>
                <w:bottom w:val="none" w:sz="0" w:space="0" w:color="auto"/>
                <w:right w:val="none" w:sz="0" w:space="0" w:color="auto"/>
              </w:divBdr>
            </w:div>
            <w:div w:id="466246069">
              <w:marLeft w:val="0"/>
              <w:marRight w:val="0"/>
              <w:marTop w:val="0"/>
              <w:marBottom w:val="0"/>
              <w:divBdr>
                <w:top w:val="none" w:sz="0" w:space="0" w:color="auto"/>
                <w:left w:val="none" w:sz="0" w:space="0" w:color="auto"/>
                <w:bottom w:val="none" w:sz="0" w:space="0" w:color="auto"/>
                <w:right w:val="none" w:sz="0" w:space="0" w:color="auto"/>
              </w:divBdr>
            </w:div>
            <w:div w:id="618604654">
              <w:marLeft w:val="0"/>
              <w:marRight w:val="0"/>
              <w:marTop w:val="0"/>
              <w:marBottom w:val="0"/>
              <w:divBdr>
                <w:top w:val="none" w:sz="0" w:space="0" w:color="auto"/>
                <w:left w:val="none" w:sz="0" w:space="0" w:color="auto"/>
                <w:bottom w:val="none" w:sz="0" w:space="0" w:color="auto"/>
                <w:right w:val="none" w:sz="0" w:space="0" w:color="auto"/>
              </w:divBdr>
            </w:div>
            <w:div w:id="636105827">
              <w:marLeft w:val="0"/>
              <w:marRight w:val="0"/>
              <w:marTop w:val="0"/>
              <w:marBottom w:val="0"/>
              <w:divBdr>
                <w:top w:val="none" w:sz="0" w:space="0" w:color="auto"/>
                <w:left w:val="none" w:sz="0" w:space="0" w:color="auto"/>
                <w:bottom w:val="none" w:sz="0" w:space="0" w:color="auto"/>
                <w:right w:val="none" w:sz="0" w:space="0" w:color="auto"/>
              </w:divBdr>
            </w:div>
            <w:div w:id="1014186000">
              <w:marLeft w:val="0"/>
              <w:marRight w:val="0"/>
              <w:marTop w:val="0"/>
              <w:marBottom w:val="0"/>
              <w:divBdr>
                <w:top w:val="none" w:sz="0" w:space="0" w:color="auto"/>
                <w:left w:val="none" w:sz="0" w:space="0" w:color="auto"/>
                <w:bottom w:val="none" w:sz="0" w:space="0" w:color="auto"/>
                <w:right w:val="none" w:sz="0" w:space="0" w:color="auto"/>
              </w:divBdr>
            </w:div>
            <w:div w:id="1080443825">
              <w:marLeft w:val="0"/>
              <w:marRight w:val="0"/>
              <w:marTop w:val="0"/>
              <w:marBottom w:val="0"/>
              <w:divBdr>
                <w:top w:val="none" w:sz="0" w:space="0" w:color="auto"/>
                <w:left w:val="none" w:sz="0" w:space="0" w:color="auto"/>
                <w:bottom w:val="none" w:sz="0" w:space="0" w:color="auto"/>
                <w:right w:val="none" w:sz="0" w:space="0" w:color="auto"/>
              </w:divBdr>
            </w:div>
            <w:div w:id="1193499830">
              <w:marLeft w:val="0"/>
              <w:marRight w:val="0"/>
              <w:marTop w:val="0"/>
              <w:marBottom w:val="0"/>
              <w:divBdr>
                <w:top w:val="none" w:sz="0" w:space="0" w:color="auto"/>
                <w:left w:val="none" w:sz="0" w:space="0" w:color="auto"/>
                <w:bottom w:val="none" w:sz="0" w:space="0" w:color="auto"/>
                <w:right w:val="none" w:sz="0" w:space="0" w:color="auto"/>
              </w:divBdr>
            </w:div>
            <w:div w:id="1201241285">
              <w:marLeft w:val="0"/>
              <w:marRight w:val="0"/>
              <w:marTop w:val="0"/>
              <w:marBottom w:val="0"/>
              <w:divBdr>
                <w:top w:val="none" w:sz="0" w:space="0" w:color="auto"/>
                <w:left w:val="none" w:sz="0" w:space="0" w:color="auto"/>
                <w:bottom w:val="none" w:sz="0" w:space="0" w:color="auto"/>
                <w:right w:val="none" w:sz="0" w:space="0" w:color="auto"/>
              </w:divBdr>
            </w:div>
            <w:div w:id="1256675259">
              <w:marLeft w:val="0"/>
              <w:marRight w:val="0"/>
              <w:marTop w:val="0"/>
              <w:marBottom w:val="0"/>
              <w:divBdr>
                <w:top w:val="none" w:sz="0" w:space="0" w:color="auto"/>
                <w:left w:val="none" w:sz="0" w:space="0" w:color="auto"/>
                <w:bottom w:val="none" w:sz="0" w:space="0" w:color="auto"/>
                <w:right w:val="none" w:sz="0" w:space="0" w:color="auto"/>
              </w:divBdr>
            </w:div>
            <w:div w:id="1323267385">
              <w:marLeft w:val="0"/>
              <w:marRight w:val="0"/>
              <w:marTop w:val="0"/>
              <w:marBottom w:val="0"/>
              <w:divBdr>
                <w:top w:val="none" w:sz="0" w:space="0" w:color="auto"/>
                <w:left w:val="none" w:sz="0" w:space="0" w:color="auto"/>
                <w:bottom w:val="none" w:sz="0" w:space="0" w:color="auto"/>
                <w:right w:val="none" w:sz="0" w:space="0" w:color="auto"/>
              </w:divBdr>
            </w:div>
            <w:div w:id="1568759733">
              <w:marLeft w:val="0"/>
              <w:marRight w:val="0"/>
              <w:marTop w:val="0"/>
              <w:marBottom w:val="0"/>
              <w:divBdr>
                <w:top w:val="none" w:sz="0" w:space="0" w:color="auto"/>
                <w:left w:val="none" w:sz="0" w:space="0" w:color="auto"/>
                <w:bottom w:val="none" w:sz="0" w:space="0" w:color="auto"/>
                <w:right w:val="none" w:sz="0" w:space="0" w:color="auto"/>
              </w:divBdr>
            </w:div>
            <w:div w:id="1743793879">
              <w:marLeft w:val="0"/>
              <w:marRight w:val="0"/>
              <w:marTop w:val="0"/>
              <w:marBottom w:val="0"/>
              <w:divBdr>
                <w:top w:val="none" w:sz="0" w:space="0" w:color="auto"/>
                <w:left w:val="none" w:sz="0" w:space="0" w:color="auto"/>
                <w:bottom w:val="none" w:sz="0" w:space="0" w:color="auto"/>
                <w:right w:val="none" w:sz="0" w:space="0" w:color="auto"/>
              </w:divBdr>
            </w:div>
            <w:div w:id="1882476541">
              <w:marLeft w:val="0"/>
              <w:marRight w:val="0"/>
              <w:marTop w:val="0"/>
              <w:marBottom w:val="0"/>
              <w:divBdr>
                <w:top w:val="none" w:sz="0" w:space="0" w:color="auto"/>
                <w:left w:val="none" w:sz="0" w:space="0" w:color="auto"/>
                <w:bottom w:val="none" w:sz="0" w:space="0" w:color="auto"/>
                <w:right w:val="none" w:sz="0" w:space="0" w:color="auto"/>
              </w:divBdr>
            </w:div>
            <w:div w:id="1885480732">
              <w:marLeft w:val="0"/>
              <w:marRight w:val="0"/>
              <w:marTop w:val="0"/>
              <w:marBottom w:val="0"/>
              <w:divBdr>
                <w:top w:val="none" w:sz="0" w:space="0" w:color="auto"/>
                <w:left w:val="none" w:sz="0" w:space="0" w:color="auto"/>
                <w:bottom w:val="none" w:sz="0" w:space="0" w:color="auto"/>
                <w:right w:val="none" w:sz="0" w:space="0" w:color="auto"/>
              </w:divBdr>
            </w:div>
          </w:divsChild>
        </w:div>
        <w:div w:id="354422562">
          <w:marLeft w:val="0"/>
          <w:marRight w:val="0"/>
          <w:marTop w:val="0"/>
          <w:marBottom w:val="0"/>
          <w:divBdr>
            <w:top w:val="none" w:sz="0" w:space="0" w:color="auto"/>
            <w:left w:val="none" w:sz="0" w:space="0" w:color="auto"/>
            <w:bottom w:val="none" w:sz="0" w:space="0" w:color="auto"/>
            <w:right w:val="none" w:sz="0" w:space="0" w:color="auto"/>
          </w:divBdr>
        </w:div>
        <w:div w:id="402216972">
          <w:marLeft w:val="0"/>
          <w:marRight w:val="0"/>
          <w:marTop w:val="0"/>
          <w:marBottom w:val="0"/>
          <w:divBdr>
            <w:top w:val="none" w:sz="0" w:space="0" w:color="auto"/>
            <w:left w:val="none" w:sz="0" w:space="0" w:color="auto"/>
            <w:bottom w:val="none" w:sz="0" w:space="0" w:color="auto"/>
            <w:right w:val="none" w:sz="0" w:space="0" w:color="auto"/>
          </w:divBdr>
          <w:divsChild>
            <w:div w:id="111172138">
              <w:marLeft w:val="0"/>
              <w:marRight w:val="0"/>
              <w:marTop w:val="0"/>
              <w:marBottom w:val="0"/>
              <w:divBdr>
                <w:top w:val="none" w:sz="0" w:space="0" w:color="auto"/>
                <w:left w:val="none" w:sz="0" w:space="0" w:color="auto"/>
                <w:bottom w:val="none" w:sz="0" w:space="0" w:color="auto"/>
                <w:right w:val="none" w:sz="0" w:space="0" w:color="auto"/>
              </w:divBdr>
            </w:div>
            <w:div w:id="144246855">
              <w:marLeft w:val="0"/>
              <w:marRight w:val="0"/>
              <w:marTop w:val="0"/>
              <w:marBottom w:val="0"/>
              <w:divBdr>
                <w:top w:val="none" w:sz="0" w:space="0" w:color="auto"/>
                <w:left w:val="none" w:sz="0" w:space="0" w:color="auto"/>
                <w:bottom w:val="none" w:sz="0" w:space="0" w:color="auto"/>
                <w:right w:val="none" w:sz="0" w:space="0" w:color="auto"/>
              </w:divBdr>
            </w:div>
            <w:div w:id="340739101">
              <w:marLeft w:val="0"/>
              <w:marRight w:val="0"/>
              <w:marTop w:val="0"/>
              <w:marBottom w:val="0"/>
              <w:divBdr>
                <w:top w:val="none" w:sz="0" w:space="0" w:color="auto"/>
                <w:left w:val="none" w:sz="0" w:space="0" w:color="auto"/>
                <w:bottom w:val="none" w:sz="0" w:space="0" w:color="auto"/>
                <w:right w:val="none" w:sz="0" w:space="0" w:color="auto"/>
              </w:divBdr>
            </w:div>
            <w:div w:id="483661736">
              <w:marLeft w:val="0"/>
              <w:marRight w:val="0"/>
              <w:marTop w:val="0"/>
              <w:marBottom w:val="0"/>
              <w:divBdr>
                <w:top w:val="none" w:sz="0" w:space="0" w:color="auto"/>
                <w:left w:val="none" w:sz="0" w:space="0" w:color="auto"/>
                <w:bottom w:val="none" w:sz="0" w:space="0" w:color="auto"/>
                <w:right w:val="none" w:sz="0" w:space="0" w:color="auto"/>
              </w:divBdr>
            </w:div>
            <w:div w:id="619653870">
              <w:marLeft w:val="0"/>
              <w:marRight w:val="0"/>
              <w:marTop w:val="0"/>
              <w:marBottom w:val="0"/>
              <w:divBdr>
                <w:top w:val="none" w:sz="0" w:space="0" w:color="auto"/>
                <w:left w:val="none" w:sz="0" w:space="0" w:color="auto"/>
                <w:bottom w:val="none" w:sz="0" w:space="0" w:color="auto"/>
                <w:right w:val="none" w:sz="0" w:space="0" w:color="auto"/>
              </w:divBdr>
            </w:div>
            <w:div w:id="985429016">
              <w:marLeft w:val="0"/>
              <w:marRight w:val="0"/>
              <w:marTop w:val="0"/>
              <w:marBottom w:val="0"/>
              <w:divBdr>
                <w:top w:val="none" w:sz="0" w:space="0" w:color="auto"/>
                <w:left w:val="none" w:sz="0" w:space="0" w:color="auto"/>
                <w:bottom w:val="none" w:sz="0" w:space="0" w:color="auto"/>
                <w:right w:val="none" w:sz="0" w:space="0" w:color="auto"/>
              </w:divBdr>
            </w:div>
            <w:div w:id="1091778410">
              <w:marLeft w:val="0"/>
              <w:marRight w:val="0"/>
              <w:marTop w:val="0"/>
              <w:marBottom w:val="0"/>
              <w:divBdr>
                <w:top w:val="none" w:sz="0" w:space="0" w:color="auto"/>
                <w:left w:val="none" w:sz="0" w:space="0" w:color="auto"/>
                <w:bottom w:val="none" w:sz="0" w:space="0" w:color="auto"/>
                <w:right w:val="none" w:sz="0" w:space="0" w:color="auto"/>
              </w:divBdr>
            </w:div>
            <w:div w:id="1127745826">
              <w:marLeft w:val="0"/>
              <w:marRight w:val="0"/>
              <w:marTop w:val="0"/>
              <w:marBottom w:val="0"/>
              <w:divBdr>
                <w:top w:val="none" w:sz="0" w:space="0" w:color="auto"/>
                <w:left w:val="none" w:sz="0" w:space="0" w:color="auto"/>
                <w:bottom w:val="none" w:sz="0" w:space="0" w:color="auto"/>
                <w:right w:val="none" w:sz="0" w:space="0" w:color="auto"/>
              </w:divBdr>
            </w:div>
            <w:div w:id="1645575580">
              <w:marLeft w:val="0"/>
              <w:marRight w:val="0"/>
              <w:marTop w:val="0"/>
              <w:marBottom w:val="0"/>
              <w:divBdr>
                <w:top w:val="none" w:sz="0" w:space="0" w:color="auto"/>
                <w:left w:val="none" w:sz="0" w:space="0" w:color="auto"/>
                <w:bottom w:val="none" w:sz="0" w:space="0" w:color="auto"/>
                <w:right w:val="none" w:sz="0" w:space="0" w:color="auto"/>
              </w:divBdr>
            </w:div>
            <w:div w:id="1789932017">
              <w:marLeft w:val="0"/>
              <w:marRight w:val="0"/>
              <w:marTop w:val="0"/>
              <w:marBottom w:val="0"/>
              <w:divBdr>
                <w:top w:val="none" w:sz="0" w:space="0" w:color="auto"/>
                <w:left w:val="none" w:sz="0" w:space="0" w:color="auto"/>
                <w:bottom w:val="none" w:sz="0" w:space="0" w:color="auto"/>
                <w:right w:val="none" w:sz="0" w:space="0" w:color="auto"/>
              </w:divBdr>
            </w:div>
            <w:div w:id="1997681300">
              <w:marLeft w:val="0"/>
              <w:marRight w:val="0"/>
              <w:marTop w:val="0"/>
              <w:marBottom w:val="0"/>
              <w:divBdr>
                <w:top w:val="none" w:sz="0" w:space="0" w:color="auto"/>
                <w:left w:val="none" w:sz="0" w:space="0" w:color="auto"/>
                <w:bottom w:val="none" w:sz="0" w:space="0" w:color="auto"/>
                <w:right w:val="none" w:sz="0" w:space="0" w:color="auto"/>
              </w:divBdr>
            </w:div>
            <w:div w:id="1998259672">
              <w:marLeft w:val="0"/>
              <w:marRight w:val="0"/>
              <w:marTop w:val="0"/>
              <w:marBottom w:val="0"/>
              <w:divBdr>
                <w:top w:val="none" w:sz="0" w:space="0" w:color="auto"/>
                <w:left w:val="none" w:sz="0" w:space="0" w:color="auto"/>
                <w:bottom w:val="none" w:sz="0" w:space="0" w:color="auto"/>
                <w:right w:val="none" w:sz="0" w:space="0" w:color="auto"/>
              </w:divBdr>
            </w:div>
            <w:div w:id="2033215075">
              <w:marLeft w:val="0"/>
              <w:marRight w:val="0"/>
              <w:marTop w:val="0"/>
              <w:marBottom w:val="0"/>
              <w:divBdr>
                <w:top w:val="none" w:sz="0" w:space="0" w:color="auto"/>
                <w:left w:val="none" w:sz="0" w:space="0" w:color="auto"/>
                <w:bottom w:val="none" w:sz="0" w:space="0" w:color="auto"/>
                <w:right w:val="none" w:sz="0" w:space="0" w:color="auto"/>
              </w:divBdr>
            </w:div>
            <w:div w:id="2084329743">
              <w:marLeft w:val="0"/>
              <w:marRight w:val="0"/>
              <w:marTop w:val="0"/>
              <w:marBottom w:val="0"/>
              <w:divBdr>
                <w:top w:val="none" w:sz="0" w:space="0" w:color="auto"/>
                <w:left w:val="none" w:sz="0" w:space="0" w:color="auto"/>
                <w:bottom w:val="none" w:sz="0" w:space="0" w:color="auto"/>
                <w:right w:val="none" w:sz="0" w:space="0" w:color="auto"/>
              </w:divBdr>
            </w:div>
          </w:divsChild>
        </w:div>
        <w:div w:id="413015922">
          <w:marLeft w:val="0"/>
          <w:marRight w:val="0"/>
          <w:marTop w:val="0"/>
          <w:marBottom w:val="0"/>
          <w:divBdr>
            <w:top w:val="none" w:sz="0" w:space="0" w:color="auto"/>
            <w:left w:val="none" w:sz="0" w:space="0" w:color="auto"/>
            <w:bottom w:val="none" w:sz="0" w:space="0" w:color="auto"/>
            <w:right w:val="none" w:sz="0" w:space="0" w:color="auto"/>
          </w:divBdr>
        </w:div>
        <w:div w:id="1233810504">
          <w:marLeft w:val="0"/>
          <w:marRight w:val="0"/>
          <w:marTop w:val="0"/>
          <w:marBottom w:val="0"/>
          <w:divBdr>
            <w:top w:val="none" w:sz="0" w:space="0" w:color="auto"/>
            <w:left w:val="none" w:sz="0" w:space="0" w:color="auto"/>
            <w:bottom w:val="none" w:sz="0" w:space="0" w:color="auto"/>
            <w:right w:val="none" w:sz="0" w:space="0" w:color="auto"/>
          </w:divBdr>
        </w:div>
        <w:div w:id="1538661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gov.au/sites/default/files/2024-05/p2024-526942-fmia-nif.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zey\AppData\Local\Temp\Templafy\WordVsto\prelims-supporting-resear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BF6194C92384E5892A6445314639E59"/>
        <w:category>
          <w:name w:val="General"/>
          <w:gallery w:val="placeholder"/>
        </w:category>
        <w:types>
          <w:type w:val="bbPlcHdr"/>
        </w:types>
        <w:behaviors>
          <w:behavior w:val="content"/>
        </w:behaviors>
        <w:guid w:val="{958E0000-93E1-4415-ACC7-F8D7187B2127}"/>
      </w:docPartPr>
      <w:docPartBody>
        <w:p w:rsidR="00123116" w:rsidRDefault="00123116">
          <w:pPr>
            <w:pStyle w:val="ABF6194C92384E5892A6445314639E59"/>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116"/>
    <w:rsid w:val="0010195E"/>
    <w:rsid w:val="00123116"/>
    <w:rsid w:val="001B20B3"/>
    <w:rsid w:val="00391841"/>
    <w:rsid w:val="00607E63"/>
    <w:rsid w:val="00674D52"/>
    <w:rsid w:val="00856E6A"/>
    <w:rsid w:val="009D3AAF"/>
    <w:rsid w:val="00A94E0D"/>
    <w:rsid w:val="00B95C9F"/>
    <w:rsid w:val="00BC1325"/>
    <w:rsid w:val="00D4666E"/>
    <w:rsid w:val="00F249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5EF670181146DAB14EFC8F22635AA7">
    <w:name w:val="F25EF670181146DAB14EFC8F22635AA7"/>
  </w:style>
  <w:style w:type="paragraph" w:customStyle="1" w:styleId="ABF6194C92384E5892A6445314639E59">
    <w:name w:val="ABF6194C92384E5892A6445314639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MPWT-2140667901-65745</_dlc_DocId>
    <_dlc_DocIdUrl xmlns="20393cdf-440a-4521-8f19-00ba43423d00">
      <Url>https://pcgov.sharepoint.com/sites/sceteam/_layouts/15/DocIdRedir.aspx?ID=MPWT-2140667901-65745</Url>
      <Description>MPWT-2140667901-65745</Description>
    </_dlc_DocIdUrl>
    <Status xmlns="3d385984-9344-419b-a80b-49c06a2bdab8"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fbe415f74fd8f159584fb50fc088976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eec0a8e3ea80314841fb08dc5d0704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D3ED372-CA29-4BCC-BDBF-C3E54F002467}">
  <ds:schemaRefs>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3d385984-9344-419b-a80b-49c06a2bdab8"/>
    <ds:schemaRef ds:uri="http://www.w3.org/XML/1998/namespace"/>
    <ds:schemaRef ds:uri="20393cdf-440a-4521-8f19-00ba43423d00"/>
    <ds:schemaRef ds:uri="http://purl.org/dc/dcmitype/"/>
  </ds:schemaRefs>
</ds:datastoreItem>
</file>

<file path=customXml/itemProps3.xml><?xml version="1.0" encoding="utf-8"?>
<ds:datastoreItem xmlns:ds="http://schemas.openxmlformats.org/officeDocument/2006/customXml" ds:itemID="{31AE6EBE-3AEA-43B3-A99D-878B59887E74}">
  <ds:schemaRefs>
    <ds:schemaRef ds:uri="http://schemas.microsoft.com/sharepoint/events"/>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718074C5-0AE5-4FB9-A9A1-5A91717AD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ADD3858-D7FB-4305-85F3-A4BECA4BBF33}">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prelims-supporting-research.dotx</Template>
  <TotalTime>349</TotalTime>
  <Pages>6</Pages>
  <Words>1791</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Future Made in Australia legislation</vt:lpstr>
    </vt:vector>
  </TitlesOfParts>
  <Company>Productivity Commission </Company>
  <LinksUpToDate>false</LinksUpToDate>
  <CharactersWithSpaces>11983</CharactersWithSpaces>
  <SharedDoc>false</SharedDoc>
  <HLinks>
    <vt:vector size="6" baseType="variant">
      <vt:variant>
        <vt:i4>1572934</vt:i4>
      </vt:variant>
      <vt:variant>
        <vt:i4>0</vt:i4>
      </vt:variant>
      <vt:variant>
        <vt:i4>0</vt:i4>
      </vt:variant>
      <vt:variant>
        <vt:i4>5</vt:i4>
      </vt:variant>
      <vt:variant>
        <vt:lpwstr>https://treasury.gov.au/sites/default/files/2024-05/p2024-526942-fmia-nif.pdf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Made in Australia legislation</dc:title>
  <dc:subject>Productivity Commission submission</dc:subject>
  <dc:creator>Productivity Commission </dc:creator>
  <cp:keywords/>
  <dc:description/>
  <cp:lastModifiedBy>Chris Alston</cp:lastModifiedBy>
  <cp:revision>412</cp:revision>
  <cp:lastPrinted>2024-08-01T03:11:00Z</cp:lastPrinted>
  <dcterms:created xsi:type="dcterms:W3CDTF">2024-07-27T12:26:00Z</dcterms:created>
  <dcterms:modified xsi:type="dcterms:W3CDTF">2024-08-01T03:11:00Z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9e63b78c-de67-41ab-9601-f9e35834d0eb</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637734049687030080</vt:lpwstr>
  </property>
  <property fmtid="{D5CDD505-2E9C-101B-9397-08002B2CF9AE}" pid="8" name="TemplafyUserProfileId">
    <vt:lpwstr>637660477422024613</vt:lpwstr>
  </property>
  <property fmtid="{D5CDD505-2E9C-101B-9397-08002B2CF9AE}" pid="9" name="TemplafyFromBlank">
    <vt:bool>false</vt:bool>
  </property>
  <property fmtid="{D5CDD505-2E9C-101B-9397-08002B2CF9AE}" pid="10" name="ClassificationContentMarkingHeaderShapeIds">
    <vt:lpwstr>6cf63759,613ba47f,78bd91fe,78910c58,db3cbc5,36b483f,65a229d5,3f40a0bc,371f064e</vt:lpwstr>
  </property>
  <property fmtid="{D5CDD505-2E9C-101B-9397-08002B2CF9AE}" pid="11" name="ClassificationContentMarkingHeaderFontProps">
    <vt:lpwstr>#000000,12,Calibri</vt:lpwstr>
  </property>
  <property fmtid="{D5CDD505-2E9C-101B-9397-08002B2CF9AE}" pid="12" name="ClassificationContentMarkingHeaderText">
    <vt:lpwstr> UNOFFICIAL</vt:lpwstr>
  </property>
  <property fmtid="{D5CDD505-2E9C-101B-9397-08002B2CF9AE}" pid="13" name="MSIP_Label_bdd3fba5-1b56-4713-bbb1-94d6a3f4b551_Enabled">
    <vt:lpwstr>true</vt:lpwstr>
  </property>
  <property fmtid="{D5CDD505-2E9C-101B-9397-08002B2CF9AE}" pid="14" name="MSIP_Label_bdd3fba5-1b56-4713-bbb1-94d6a3f4b551_SetDate">
    <vt:lpwstr>2024-07-26T02:02:20Z</vt:lpwstr>
  </property>
  <property fmtid="{D5CDD505-2E9C-101B-9397-08002B2CF9AE}" pid="15" name="MSIP_Label_bdd3fba5-1b56-4713-bbb1-94d6a3f4b551_Method">
    <vt:lpwstr>Privileged</vt:lpwstr>
  </property>
  <property fmtid="{D5CDD505-2E9C-101B-9397-08002B2CF9AE}" pid="16" name="MSIP_Label_bdd3fba5-1b56-4713-bbb1-94d6a3f4b551_Name">
    <vt:lpwstr>UNOFFICIAL</vt:lpwstr>
  </property>
  <property fmtid="{D5CDD505-2E9C-101B-9397-08002B2CF9AE}" pid="17" name="MSIP_Label_bdd3fba5-1b56-4713-bbb1-94d6a3f4b551_SiteId">
    <vt:lpwstr>29f9330b-c0fe-4244-830e-ba9f275d6c34</vt:lpwstr>
  </property>
  <property fmtid="{D5CDD505-2E9C-101B-9397-08002B2CF9AE}" pid="18" name="MSIP_Label_bdd3fba5-1b56-4713-bbb1-94d6a3f4b551_ActionId">
    <vt:lpwstr>08a4de50-f220-4972-8ce4-f053e52ea3f8</vt:lpwstr>
  </property>
  <property fmtid="{D5CDD505-2E9C-101B-9397-08002B2CF9AE}" pid="19" name="MSIP_Label_bdd3fba5-1b56-4713-bbb1-94d6a3f4b551_ContentBits">
    <vt:lpwstr>1</vt:lpwstr>
  </property>
</Properties>
</file>